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DD" w:rsidRDefault="00A810A5">
      <w:pPr>
        <w:pStyle w:val="Standard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rFonts w:cs="Times New Roman"/>
          <w:b/>
          <w:bCs/>
          <w:color w:val="000000"/>
          <w:sz w:val="26"/>
          <w:szCs w:val="26"/>
          <w:lang w:val="ru-RU"/>
        </w:rPr>
        <w:t>Отчет о реализации и оценке эффективности</w:t>
      </w:r>
      <w:r>
        <w:rPr>
          <w:rFonts w:cs="Times New Roman"/>
          <w:b/>
          <w:bCs/>
          <w:sz w:val="26"/>
          <w:szCs w:val="26"/>
        </w:rPr>
        <w:t xml:space="preserve">  муниципальной  программы</w:t>
      </w:r>
    </w:p>
    <w:p w:rsidR="009311DD" w:rsidRDefault="00A810A5">
      <w:pPr>
        <w:pStyle w:val="Standard"/>
        <w:jc w:val="center"/>
        <w:rPr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  <w:lang w:val="ru-RU" w:eastAsia="ru-RU"/>
        </w:rPr>
        <w:t>«</w:t>
      </w:r>
      <w:r>
        <w:rPr>
          <w:rFonts w:cs="Times New Roman"/>
          <w:b/>
          <w:bCs/>
          <w:color w:val="000000"/>
          <w:sz w:val="26"/>
          <w:szCs w:val="26"/>
          <w:lang w:val="ru-RU" w:eastAsia="ru-RU"/>
        </w:rPr>
        <w:t>Развитие системы защиты прав потребителей</w:t>
      </w:r>
    </w:p>
    <w:p w:rsidR="009311DD" w:rsidRDefault="00A810A5">
      <w:pPr>
        <w:pStyle w:val="Standard"/>
        <w:jc w:val="center"/>
        <w:rPr>
          <w:b/>
          <w:bCs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  <w:lang w:val="ru-RU" w:eastAsia="ru-RU"/>
        </w:rPr>
        <w:t>в Сланцевском районе на 2017-2020 годы</w:t>
      </w:r>
      <w:r>
        <w:rPr>
          <w:rFonts w:cs="Times New Roman"/>
          <w:b/>
          <w:bCs/>
          <w:color w:val="000000"/>
          <w:sz w:val="26"/>
          <w:szCs w:val="26"/>
          <w:lang w:val="ru-RU" w:eastAsia="ru-RU"/>
        </w:rPr>
        <w:t>»</w:t>
      </w:r>
    </w:p>
    <w:p w:rsidR="009311DD" w:rsidRDefault="00A810A5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  <w:lang w:val="ru-RU" w:eastAsia="ru-RU"/>
        </w:rPr>
      </w:pPr>
      <w:r>
        <w:rPr>
          <w:rFonts w:cs="Times New Roman"/>
          <w:b/>
          <w:bCs/>
          <w:color w:val="000000"/>
          <w:sz w:val="26"/>
          <w:szCs w:val="26"/>
          <w:lang w:val="ru-RU" w:eastAsia="ru-RU"/>
        </w:rPr>
        <w:t xml:space="preserve"> за 1 полугодие 2018 года</w:t>
      </w:r>
    </w:p>
    <w:p w:rsidR="009311DD" w:rsidRDefault="00A810A5">
      <w:pPr>
        <w:pStyle w:val="Standard"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val="ru-RU" w:eastAsia="ru-RU"/>
        </w:rPr>
        <w:tab/>
      </w:r>
    </w:p>
    <w:p w:rsidR="009311DD" w:rsidRDefault="00A810A5">
      <w:pPr>
        <w:pStyle w:val="Standard"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val="ru-RU" w:eastAsia="ru-RU"/>
        </w:rPr>
        <w:tab/>
        <w:t xml:space="preserve">Реализация государственной политики по обеспечению и защите прав и интересов граждан – потребителей в Сланцевском </w:t>
      </w:r>
      <w:r>
        <w:rPr>
          <w:rFonts w:cs="Times New Roman"/>
          <w:color w:val="000000"/>
          <w:sz w:val="26"/>
          <w:szCs w:val="26"/>
          <w:lang w:val="ru-RU" w:eastAsia="ru-RU"/>
        </w:rPr>
        <w:t>муниципальном районе осуществляется в соответствии с муниципальной программой  «</w:t>
      </w:r>
      <w:r>
        <w:rPr>
          <w:rFonts w:cs="Times New Roman"/>
          <w:color w:val="000000"/>
          <w:sz w:val="26"/>
          <w:szCs w:val="26"/>
          <w:lang w:val="ru-RU" w:eastAsia="ru-RU"/>
        </w:rPr>
        <w:t>Развитие системы защиты прав потребителей в Сланцевском районе на 2017-2020 годы</w:t>
      </w:r>
      <w:r>
        <w:rPr>
          <w:rFonts w:cs="Times New Roman"/>
          <w:color w:val="000000"/>
          <w:sz w:val="26"/>
          <w:szCs w:val="26"/>
          <w:lang w:val="ru-RU" w:eastAsia="ru-RU"/>
        </w:rPr>
        <w:t>», утвержденной постановлением администрации Сланцевского района от 19.10.2016 № 1603-п (далее –</w:t>
      </w:r>
      <w:r>
        <w:rPr>
          <w:rFonts w:cs="Times New Roman"/>
          <w:color w:val="000000"/>
          <w:sz w:val="26"/>
          <w:szCs w:val="26"/>
          <w:lang w:val="ru-RU" w:eastAsia="ru-RU"/>
        </w:rPr>
        <w:t xml:space="preserve"> программа).</w:t>
      </w:r>
    </w:p>
    <w:p w:rsidR="009311DD" w:rsidRDefault="00A810A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Работа по реализации программных мероприятий стала составляющим механизмом достижения основной цели – создание в </w:t>
      </w:r>
      <w:r>
        <w:rPr>
          <w:sz w:val="26"/>
          <w:szCs w:val="26"/>
          <w:lang w:val="ru-RU"/>
        </w:rPr>
        <w:t>Сланцевском</w:t>
      </w:r>
      <w:r>
        <w:rPr>
          <w:sz w:val="26"/>
          <w:szCs w:val="26"/>
        </w:rPr>
        <w:t xml:space="preserve"> районе условий для эффективной защиты прав потребителей, установленных законодательством Российской Федерации. Для </w:t>
      </w:r>
      <w:r>
        <w:rPr>
          <w:sz w:val="26"/>
          <w:szCs w:val="26"/>
        </w:rPr>
        <w:t xml:space="preserve">защиты прав потребителей населения района </w:t>
      </w:r>
      <w:r>
        <w:rPr>
          <w:rFonts w:cs="Times New Roman"/>
          <w:color w:val="000000"/>
          <w:sz w:val="26"/>
          <w:szCs w:val="26"/>
        </w:rPr>
        <w:t xml:space="preserve">в рамках реализации программы работает информационно-консультационный центр (далее ИКЦ). Оказание консультационной помощи потребителям по вопросам защиты их законных прав и интересов и оказание помощи потребителям </w:t>
      </w:r>
      <w:r>
        <w:rPr>
          <w:rFonts w:cs="Times New Roman"/>
          <w:color w:val="000000"/>
          <w:sz w:val="26"/>
          <w:szCs w:val="26"/>
        </w:rPr>
        <w:t>в составлении претензий, исковых заявлений, а также жалоб и заявлений в различные инстанции являются основными функциями ИКЦ.</w:t>
      </w:r>
      <w:r>
        <w:rPr>
          <w:sz w:val="26"/>
          <w:szCs w:val="26"/>
        </w:rPr>
        <w:t xml:space="preserve"> Анализ поступивших </w:t>
      </w:r>
      <w:r>
        <w:rPr>
          <w:sz w:val="26"/>
          <w:szCs w:val="26"/>
          <w:lang w:val="ru-RU"/>
        </w:rPr>
        <w:t>в ИКЦ</w:t>
      </w:r>
      <w:r>
        <w:rPr>
          <w:sz w:val="26"/>
          <w:szCs w:val="26"/>
        </w:rPr>
        <w:t xml:space="preserve"> обращений показал, что с развитием и внедрением в нашу жизнь новых видов товаров и услуг потребители </w:t>
      </w:r>
      <w:r>
        <w:rPr>
          <w:sz w:val="26"/>
          <w:szCs w:val="26"/>
          <w:lang w:val="ru-RU"/>
        </w:rPr>
        <w:t>обра</w:t>
      </w:r>
      <w:r>
        <w:rPr>
          <w:sz w:val="26"/>
          <w:szCs w:val="26"/>
          <w:lang w:val="ru-RU"/>
        </w:rPr>
        <w:t>щаются</w:t>
      </w:r>
      <w:r>
        <w:rPr>
          <w:sz w:val="26"/>
          <w:szCs w:val="26"/>
        </w:rPr>
        <w:t xml:space="preserve"> с жалобами к сферам, представляющим жизненный интерес для человека – это </w:t>
      </w:r>
      <w:r>
        <w:rPr>
          <w:sz w:val="26"/>
          <w:szCs w:val="26"/>
          <w:lang w:val="ru-RU"/>
        </w:rPr>
        <w:t xml:space="preserve">страховые, </w:t>
      </w:r>
      <w:r>
        <w:rPr>
          <w:sz w:val="26"/>
          <w:szCs w:val="26"/>
        </w:rPr>
        <w:t>финансовые, медицинские, бытовые услуги, услуги розничной торговли, в том числе дистанционной через Интернет.</w:t>
      </w:r>
    </w:p>
    <w:p w:rsidR="009311DD" w:rsidRDefault="00A810A5">
      <w:pPr>
        <w:pStyle w:val="Textbody"/>
        <w:spacing w:after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В </w:t>
      </w:r>
      <w:r>
        <w:rPr>
          <w:rFonts w:cs="Times New Roman"/>
          <w:sz w:val="26"/>
          <w:szCs w:val="26"/>
          <w:lang w:val="ru-RU"/>
        </w:rPr>
        <w:t>отчетном периоде</w:t>
      </w:r>
      <w:r>
        <w:rPr>
          <w:rFonts w:cs="Times New Roman"/>
          <w:sz w:val="26"/>
          <w:szCs w:val="26"/>
        </w:rPr>
        <w:t xml:space="preserve"> осуществлялось взаимодействие </w:t>
      </w:r>
      <w:r>
        <w:rPr>
          <w:rFonts w:cs="Times New Roman"/>
          <w:sz w:val="26"/>
          <w:szCs w:val="26"/>
          <w:lang w:val="ru-RU"/>
        </w:rPr>
        <w:t>а</w:t>
      </w:r>
      <w:r>
        <w:rPr>
          <w:rFonts w:cs="Times New Roman"/>
          <w:sz w:val="26"/>
          <w:szCs w:val="26"/>
        </w:rPr>
        <w:t>дми</w:t>
      </w:r>
      <w:r>
        <w:rPr>
          <w:rFonts w:cs="Times New Roman"/>
          <w:sz w:val="26"/>
          <w:szCs w:val="26"/>
        </w:rPr>
        <w:t xml:space="preserve">нистрации </w:t>
      </w:r>
      <w:r>
        <w:rPr>
          <w:rFonts w:cs="Times New Roman"/>
          <w:color w:val="000000"/>
          <w:sz w:val="26"/>
          <w:szCs w:val="26"/>
          <w:lang w:val="ru-RU" w:eastAsia="ru-RU"/>
        </w:rPr>
        <w:t xml:space="preserve">Сланцевского муниципального района с </w:t>
      </w:r>
      <w:r>
        <w:rPr>
          <w:rFonts w:cs="Times New Roman"/>
          <w:color w:val="000000"/>
          <w:sz w:val="26"/>
          <w:szCs w:val="26"/>
          <w:lang w:val="ru-RU" w:eastAsia="ru-RU"/>
        </w:rPr>
        <w:t xml:space="preserve">территориальным отделом Управления Роспотребнадзора по Ленинградской области в Кингисеппском, Волосовском,  Сланцевском  районах </w:t>
      </w:r>
      <w:r>
        <w:rPr>
          <w:rFonts w:cs="Times New Roman"/>
          <w:sz w:val="26"/>
          <w:szCs w:val="26"/>
        </w:rPr>
        <w:t>в рамках заключенн</w:t>
      </w:r>
      <w:r>
        <w:rPr>
          <w:rFonts w:cs="Times New Roman"/>
          <w:sz w:val="26"/>
          <w:szCs w:val="26"/>
          <w:lang w:val="ru-RU"/>
        </w:rPr>
        <w:t>ого</w:t>
      </w:r>
      <w:r>
        <w:rPr>
          <w:rFonts w:cs="Times New Roman"/>
          <w:sz w:val="26"/>
          <w:szCs w:val="26"/>
        </w:rPr>
        <w:t xml:space="preserve"> Соглашени</w:t>
      </w:r>
      <w:r>
        <w:rPr>
          <w:rFonts w:cs="Times New Roman"/>
          <w:sz w:val="26"/>
          <w:szCs w:val="26"/>
          <w:lang w:val="ru-RU"/>
        </w:rPr>
        <w:t>я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ru-RU"/>
        </w:rPr>
        <w:t>об обеспечении деятельности информационно-консу</w:t>
      </w:r>
      <w:r>
        <w:rPr>
          <w:rFonts w:cs="Times New Roman"/>
          <w:sz w:val="26"/>
          <w:szCs w:val="26"/>
          <w:lang w:val="ru-RU"/>
        </w:rPr>
        <w:t>льтационного центра для информирования и консультирования потребителей.</w:t>
      </w:r>
    </w:p>
    <w:p w:rsidR="009311DD" w:rsidRDefault="00A810A5">
      <w:pPr>
        <w:pStyle w:val="Standard"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sz w:val="26"/>
          <w:szCs w:val="26"/>
          <w:lang w:val="ru-RU"/>
        </w:rPr>
        <w:t>В</w:t>
      </w:r>
      <w:r>
        <w:rPr>
          <w:rFonts w:cs="Times New Roman"/>
          <w:color w:val="000000"/>
          <w:sz w:val="26"/>
          <w:szCs w:val="26"/>
          <w:lang w:val="ru-RU" w:eastAsia="ru-RU"/>
        </w:rPr>
        <w:t xml:space="preserve"> рамках реализации мероприятий муниципальной программы проведен мониторинг обращений потребителей по вопросам защиты прав потребителей в различных сферах потребительского рынка това</w:t>
      </w:r>
      <w:r>
        <w:rPr>
          <w:rFonts w:cs="Times New Roman"/>
          <w:color w:val="000000"/>
          <w:sz w:val="26"/>
          <w:szCs w:val="26"/>
          <w:lang w:val="ru-RU" w:eastAsia="ru-RU"/>
        </w:rPr>
        <w:t>ров, услуг. Результаты размещены на официальном сайте администрации Сланцевского района и в газете «Знамя труда». С целью повышения правовой грамотности жителей Сланцевского района  проводилась информационно-просветительская работа, в том числе через средс</w:t>
      </w:r>
      <w:r>
        <w:rPr>
          <w:rFonts w:cs="Times New Roman"/>
          <w:color w:val="000000"/>
          <w:sz w:val="26"/>
          <w:szCs w:val="26"/>
          <w:lang w:val="ru-RU" w:eastAsia="ru-RU"/>
        </w:rPr>
        <w:t>тва массовой информации.</w:t>
      </w:r>
    </w:p>
    <w:p w:rsidR="009311DD" w:rsidRDefault="00A810A5">
      <w:pPr>
        <w:pStyle w:val="Standard"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val="ru-RU" w:eastAsia="ru-RU"/>
        </w:rPr>
        <w:t xml:space="preserve">      </w:t>
      </w:r>
      <w:r>
        <w:rPr>
          <w:rFonts w:cs="Times New Roman"/>
          <w:color w:val="000000"/>
          <w:sz w:val="26"/>
          <w:szCs w:val="26"/>
          <w:lang w:val="ru-RU" w:eastAsia="ru-RU"/>
        </w:rPr>
        <w:tab/>
        <w:t xml:space="preserve">В рамках подготовки и проведения </w:t>
      </w:r>
      <w:r>
        <w:rPr>
          <w:rFonts w:cs="Times New Roman"/>
          <w:color w:val="000000"/>
          <w:spacing w:val="10"/>
          <w:sz w:val="26"/>
          <w:szCs w:val="26"/>
          <w:lang w:val="ru-RU" w:eastAsia="ru-RU"/>
        </w:rPr>
        <w:t xml:space="preserve">Всемирного дня защиты прав потребителей </w:t>
      </w:r>
      <w:r>
        <w:rPr>
          <w:rFonts w:cs="Times New Roman"/>
          <w:color w:val="000000"/>
          <w:spacing w:val="10"/>
          <w:sz w:val="26"/>
          <w:szCs w:val="26"/>
          <w:lang w:val="ru-RU" w:eastAsia="ru-RU"/>
        </w:rPr>
        <w:t xml:space="preserve">15 марта 2018 года была </w:t>
      </w:r>
      <w:r>
        <w:rPr>
          <w:rFonts w:cs="Times New Roman"/>
          <w:color w:val="000000"/>
          <w:spacing w:val="10"/>
          <w:sz w:val="26"/>
          <w:szCs w:val="26"/>
          <w:lang w:val="ru-RU" w:eastAsia="ru-RU"/>
        </w:rPr>
        <w:t>проведена «горячая  телефонная линия"</w:t>
      </w:r>
      <w:r>
        <w:rPr>
          <w:rFonts w:cs="Times New Roman"/>
          <w:color w:val="000000"/>
          <w:sz w:val="26"/>
          <w:szCs w:val="26"/>
          <w:lang w:val="ru-RU" w:eastAsia="ru-RU"/>
        </w:rPr>
        <w:t>, направленная на популяризацию потребительского законодательства.</w:t>
      </w:r>
    </w:p>
    <w:p w:rsidR="009311DD" w:rsidRDefault="00A810A5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val="ru-RU" w:eastAsia="ru-RU"/>
        </w:rPr>
        <w:tab/>
      </w:r>
      <w:r>
        <w:rPr>
          <w:rFonts w:cs="Times New Roman"/>
          <w:sz w:val="26"/>
          <w:szCs w:val="26"/>
        </w:rPr>
        <w:t xml:space="preserve">В ходе реализации </w:t>
      </w:r>
      <w:r>
        <w:rPr>
          <w:rFonts w:cs="Times New Roman"/>
          <w:sz w:val="26"/>
          <w:szCs w:val="26"/>
        </w:rPr>
        <w:t xml:space="preserve">программы происходит укрепление системы оказания адресной правовой помощи потребителям — жителям </w:t>
      </w:r>
      <w:r>
        <w:rPr>
          <w:rFonts w:cs="Times New Roman"/>
          <w:sz w:val="26"/>
          <w:szCs w:val="26"/>
          <w:lang w:val="ru-RU"/>
        </w:rPr>
        <w:t>Сланцевского района</w:t>
      </w:r>
      <w:r>
        <w:rPr>
          <w:rFonts w:cs="Times New Roman"/>
          <w:sz w:val="26"/>
          <w:szCs w:val="26"/>
        </w:rPr>
        <w:t>, права которых были нарушены недобросовестными изготовителями, исполнителями, импортерами, продавцами при продаже товаров (выполнении работ</w:t>
      </w:r>
      <w:r>
        <w:rPr>
          <w:rFonts w:cs="Times New Roman"/>
          <w:sz w:val="26"/>
          <w:szCs w:val="26"/>
        </w:rPr>
        <w:t xml:space="preserve">, оказании услуг), путем проведения комплекса мероприятий, направленных на защиту прав указанной категории граждан. Одновременно с этим граждане, получающие правовую помощь в рамках реализации программы, вырабатывают у себя </w:t>
      </w:r>
      <w:r>
        <w:rPr>
          <w:rFonts w:cs="Times New Roman"/>
          <w:sz w:val="26"/>
          <w:szCs w:val="26"/>
          <w:lang w:val="ru-RU"/>
        </w:rPr>
        <w:t>навыки</w:t>
      </w:r>
      <w:r>
        <w:rPr>
          <w:rFonts w:cs="Times New Roman"/>
          <w:sz w:val="26"/>
          <w:szCs w:val="26"/>
        </w:rPr>
        <w:t xml:space="preserve"> относительно основных пра</w:t>
      </w:r>
      <w:r>
        <w:rPr>
          <w:rFonts w:cs="Times New Roman"/>
          <w:sz w:val="26"/>
          <w:szCs w:val="26"/>
        </w:rPr>
        <w:t>вил и практических особенностях составления юридически значимых документов (заявлений, претензий, исковых заявлений и др.), что впоследствии позволит потребителям самостоятельно успешно реализовывать право на защиту своих интересов.</w:t>
      </w:r>
    </w:p>
    <w:p w:rsidR="009311DD" w:rsidRDefault="00A810A5">
      <w:pPr>
        <w:pStyle w:val="Standard"/>
        <w:jc w:val="both"/>
        <w:rPr>
          <w:rFonts w:cs="Times New Roman"/>
          <w:sz w:val="26"/>
          <w:szCs w:val="26"/>
        </w:rPr>
        <w:sectPr w:rsidR="009311DD">
          <w:pgSz w:w="11906" w:h="16838"/>
          <w:pgMar w:top="624" w:right="624" w:bottom="737" w:left="737" w:header="720" w:footer="720" w:gutter="0"/>
          <w:cols w:space="720"/>
        </w:sectPr>
      </w:pPr>
      <w:r>
        <w:rPr>
          <w:rFonts w:cs="Times New Roman"/>
          <w:sz w:val="26"/>
          <w:szCs w:val="26"/>
        </w:rPr>
        <w:tab/>
        <w:t xml:space="preserve">Реализация </w:t>
      </w:r>
      <w:r>
        <w:rPr>
          <w:rFonts w:cs="Times New Roman"/>
          <w:color w:val="000000"/>
          <w:sz w:val="26"/>
          <w:szCs w:val="26"/>
          <w:lang w:val="ru-RU" w:eastAsia="ru-RU"/>
        </w:rPr>
        <w:t>муниципаль</w:t>
      </w:r>
      <w:r>
        <w:rPr>
          <w:rFonts w:cs="Times New Roman"/>
          <w:color w:val="000000"/>
          <w:sz w:val="26"/>
          <w:szCs w:val="26"/>
          <w:lang w:val="ru-RU" w:eastAsia="ru-RU"/>
        </w:rPr>
        <w:t>ной программой «</w:t>
      </w:r>
      <w:r>
        <w:rPr>
          <w:rFonts w:cs="Times New Roman"/>
          <w:color w:val="000000"/>
          <w:sz w:val="26"/>
          <w:szCs w:val="26"/>
          <w:lang w:val="ru-RU" w:eastAsia="ru-RU"/>
        </w:rPr>
        <w:t>Развитие системы защиты прав потребителей в Сланцевском районе на 2017-2020 годы</w:t>
      </w:r>
      <w:r>
        <w:rPr>
          <w:rFonts w:cs="Times New Roman"/>
          <w:color w:val="000000"/>
          <w:sz w:val="26"/>
          <w:szCs w:val="26"/>
          <w:lang w:val="ru-RU" w:eastAsia="ru-RU"/>
        </w:rPr>
        <w:t>»</w:t>
      </w:r>
      <w:r>
        <w:rPr>
          <w:rFonts w:cs="Times New Roman"/>
          <w:sz w:val="26"/>
          <w:szCs w:val="26"/>
        </w:rPr>
        <w:t xml:space="preserve"> в отчетном периоде прошла успешно. </w:t>
      </w:r>
      <w:r>
        <w:rPr>
          <w:rFonts w:cs="Times New Roman"/>
          <w:sz w:val="26"/>
          <w:szCs w:val="26"/>
          <w:lang w:val="ru-RU"/>
        </w:rPr>
        <w:t>Ж</w:t>
      </w:r>
      <w:r>
        <w:rPr>
          <w:rFonts w:cs="Times New Roman"/>
          <w:sz w:val="26"/>
          <w:szCs w:val="26"/>
        </w:rPr>
        <w:t xml:space="preserve">ители </w:t>
      </w:r>
      <w:r>
        <w:rPr>
          <w:rFonts w:cs="Times New Roman"/>
          <w:sz w:val="26"/>
          <w:szCs w:val="26"/>
          <w:lang w:val="ru-RU"/>
        </w:rPr>
        <w:t>Сланцевского муниципального района</w:t>
      </w:r>
      <w:r>
        <w:rPr>
          <w:rFonts w:cs="Times New Roman"/>
          <w:sz w:val="26"/>
          <w:szCs w:val="26"/>
        </w:rPr>
        <w:t xml:space="preserve"> активно обращаются </w:t>
      </w:r>
      <w:r>
        <w:rPr>
          <w:rFonts w:cs="Times New Roman"/>
          <w:sz w:val="26"/>
          <w:szCs w:val="26"/>
          <w:lang w:val="ru-RU"/>
        </w:rPr>
        <w:t>к специалисту ИКЦ</w:t>
      </w:r>
      <w:r>
        <w:rPr>
          <w:rFonts w:cs="Times New Roman"/>
          <w:sz w:val="26"/>
          <w:szCs w:val="26"/>
        </w:rPr>
        <w:t xml:space="preserve"> с вопросами в сфере защиты прав потребителей</w:t>
      </w:r>
      <w:r>
        <w:rPr>
          <w:rFonts w:cs="Times New Roman"/>
          <w:sz w:val="26"/>
          <w:szCs w:val="26"/>
        </w:rPr>
        <w:t xml:space="preserve"> с целью реализации правовосстановительной функций права, а также достижения частной и общей превенции.</w:t>
      </w:r>
    </w:p>
    <w:p w:rsidR="009311DD" w:rsidRDefault="00A810A5">
      <w:pPr>
        <w:pStyle w:val="Standard"/>
        <w:widowControl/>
        <w:suppressAutoHyphens w:val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lastRenderedPageBreak/>
        <w:t>Отчет о реализации муниципальной программы</w:t>
      </w:r>
    </w:p>
    <w:p w:rsidR="009311DD" w:rsidRDefault="00A810A5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 xml:space="preserve">Наименование муниципальной программы: </w:t>
      </w:r>
      <w:r>
        <w:rPr>
          <w:rFonts w:cs="Times New Roman"/>
          <w:color w:val="000000"/>
          <w:sz w:val="22"/>
          <w:szCs w:val="22"/>
          <w:lang w:val="ru-RU" w:eastAsia="ru-RU"/>
        </w:rPr>
        <w:t>«</w:t>
      </w:r>
      <w:r>
        <w:rPr>
          <w:rFonts w:cs="Times New Roman"/>
          <w:color w:val="000000"/>
          <w:sz w:val="22"/>
          <w:szCs w:val="22"/>
          <w:lang w:val="ru-RU" w:eastAsia="ru-RU"/>
        </w:rPr>
        <w:t>Развитие системы защиты прав потребителей в Сланцевском районе на 201</w:t>
      </w:r>
      <w:r>
        <w:rPr>
          <w:rFonts w:cs="Times New Roman"/>
          <w:color w:val="000000"/>
          <w:sz w:val="22"/>
          <w:szCs w:val="22"/>
          <w:lang w:val="ru-RU" w:eastAsia="ru-RU"/>
        </w:rPr>
        <w:t>7-2020 годы</w:t>
      </w:r>
      <w:r>
        <w:rPr>
          <w:rFonts w:cs="Times New Roman"/>
          <w:color w:val="000000"/>
          <w:sz w:val="22"/>
          <w:szCs w:val="22"/>
          <w:lang w:val="ru-RU" w:eastAsia="ru-RU"/>
        </w:rPr>
        <w:t>»</w:t>
      </w:r>
    </w:p>
    <w:p w:rsidR="009311DD" w:rsidRDefault="00A810A5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 xml:space="preserve">Отчетный период: январь - </w:t>
      </w:r>
      <w:r>
        <w:rPr>
          <w:rFonts w:cs="Times New Roman"/>
          <w:sz w:val="22"/>
          <w:szCs w:val="22"/>
          <w:lang w:val="ru-RU" w:eastAsia="ru-RU"/>
        </w:rPr>
        <w:t>июнь</w:t>
      </w:r>
      <w:r>
        <w:rPr>
          <w:rFonts w:cs="Times New Roman"/>
          <w:sz w:val="22"/>
          <w:szCs w:val="22"/>
          <w:lang w:eastAsia="ru-RU"/>
        </w:rPr>
        <w:t xml:space="preserve"> 2018 года</w:t>
      </w:r>
    </w:p>
    <w:p w:rsidR="009311DD" w:rsidRDefault="00A810A5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Ответственный исполнитель: О</w:t>
      </w:r>
      <w:r>
        <w:rPr>
          <w:rFonts w:cs="Times New Roman"/>
          <w:sz w:val="22"/>
          <w:szCs w:val="22"/>
          <w:lang w:val="ru-RU" w:eastAsia="ru-RU"/>
        </w:rPr>
        <w:t>тдел по</w:t>
      </w:r>
      <w:r>
        <w:rPr>
          <w:rFonts w:cs="Times New Roman"/>
          <w:color w:val="000000"/>
          <w:sz w:val="22"/>
          <w:szCs w:val="22"/>
          <w:lang w:val="ru-RU" w:eastAsia="ru-RU"/>
        </w:rPr>
        <w:t xml:space="preserve"> взаимодействию с органами местного самоуправления, общим и организационным вопросам</w:t>
      </w:r>
      <w:r>
        <w:rPr>
          <w:rFonts w:cs="Times New Roman"/>
          <w:color w:val="000000"/>
          <w:sz w:val="22"/>
          <w:szCs w:val="22"/>
          <w:lang w:eastAsia="ru-RU"/>
        </w:rPr>
        <w:t xml:space="preserve"> администрации  Сланцевского муниципального района</w:t>
      </w:r>
    </w:p>
    <w:p w:rsidR="009311DD" w:rsidRDefault="009311DD">
      <w:pPr>
        <w:pStyle w:val="Standard"/>
        <w:widowControl/>
        <w:suppressAutoHyphens w:val="0"/>
        <w:rPr>
          <w:rFonts w:cs="Times New Roman"/>
          <w:lang w:eastAsia="ru-RU"/>
        </w:rPr>
      </w:pPr>
    </w:p>
    <w:tbl>
      <w:tblPr>
        <w:tblW w:w="14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899"/>
        <w:gridCol w:w="978"/>
        <w:gridCol w:w="764"/>
        <w:gridCol w:w="764"/>
        <w:gridCol w:w="545"/>
        <w:gridCol w:w="1080"/>
        <w:gridCol w:w="669"/>
        <w:gridCol w:w="764"/>
        <w:gridCol w:w="532"/>
        <w:gridCol w:w="1125"/>
        <w:gridCol w:w="637"/>
        <w:gridCol w:w="764"/>
        <w:gridCol w:w="765"/>
        <w:gridCol w:w="764"/>
        <w:gridCol w:w="765"/>
        <w:gridCol w:w="864"/>
      </w:tblGrid>
      <w:tr w:rsidR="009311DD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Наименование ВЦП, мероприятия ВЦП/ основного мероприятия подпрограмм</w:t>
            </w:r>
            <w:r>
              <w:rPr>
                <w:rFonts w:cs="Times New Roman"/>
                <w:sz w:val="20"/>
                <w:szCs w:val="20"/>
                <w:lang w:eastAsia="ru-RU"/>
              </w:rPr>
              <w:t>ы, мероприятия основного мероприятия/мероприятия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Фактическая дата начала реализации мероприятия (квартал, год)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Фактическая дата окончания реализации мероприятия (квартал, год)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План расходов на реализацию муниципальной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программы в отчетном году, тыс. руб.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Выполнено на отчетную дату (нарастающим итогом), тыс. руб.</w:t>
            </w:r>
          </w:p>
        </w:tc>
      </w:tr>
      <w:tr w:rsidR="009311DD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10A5"/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10A5"/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10A5"/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10A5"/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10A5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9311D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17</w:t>
            </w:r>
          </w:p>
        </w:tc>
      </w:tr>
      <w:tr w:rsidR="009311D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cs="Times New Roman"/>
                <w:b/>
                <w:i/>
                <w:lang w:eastAsia="ru-RU"/>
              </w:rPr>
            </w:pPr>
            <w:r>
              <w:rPr>
                <w:rFonts w:cs="Times New Roman"/>
                <w:b/>
                <w:i/>
                <w:lang w:eastAsia="ru-RU"/>
              </w:rPr>
              <w:t xml:space="preserve"> </w:t>
            </w:r>
            <w:r>
              <w:rPr>
                <w:rFonts w:cs="Times New Roman"/>
                <w:i/>
                <w:color w:val="000000"/>
                <w:lang w:val="ru-RU" w:eastAsia="ru-RU"/>
              </w:rPr>
              <w:t>«</w:t>
            </w:r>
            <w:r>
              <w:rPr>
                <w:rFonts w:cs="Times New Roman"/>
                <w:color w:val="000000"/>
                <w:lang w:val="ru-RU" w:eastAsia="ru-RU"/>
              </w:rPr>
              <w:t>Развитие системы защиты прав потребителей в Сланцевском районе на 2017-2020</w:t>
            </w:r>
            <w:r>
              <w:rPr>
                <w:rFonts w:cs="Times New Roman"/>
                <w:color w:val="000000"/>
                <w:lang w:val="ru-RU" w:eastAsia="ru-RU"/>
              </w:rPr>
              <w:t xml:space="preserve"> годы</w:t>
            </w:r>
            <w:r>
              <w:rPr>
                <w:rFonts w:cs="Times New Roman"/>
                <w:i/>
                <w:color w:val="000000"/>
                <w:lang w:val="ru-RU" w:eastAsia="ru-RU"/>
              </w:rPr>
              <w:t>»</w:t>
            </w:r>
          </w:p>
        </w:tc>
      </w:tr>
      <w:tr w:rsidR="009311D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ВЦП 1.1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9311DD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9311DD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9311DD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9311DD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9311DD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9311DD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9311DD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9311DD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9311DD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9311DD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9311DD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9311DD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9311DD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9311DD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9311DD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311D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Обеспечение           деятельности             информационн</w:t>
            </w:r>
            <w:r>
              <w:rPr>
                <w:rStyle w:val="grame"/>
                <w:sz w:val="22"/>
                <w:szCs w:val="22"/>
                <w:lang w:eastAsia="ru-RU"/>
              </w:rPr>
              <w:t>о-</w:t>
            </w:r>
            <w:r>
              <w:rPr>
                <w:rFonts w:cs="Times New Roman"/>
                <w:sz w:val="22"/>
                <w:szCs w:val="22"/>
                <w:lang w:eastAsia="ru-RU"/>
              </w:rPr>
              <w:t xml:space="preserve">          консультационного центра </w:t>
            </w:r>
            <w:r>
              <w:rPr>
                <w:rFonts w:cs="Times New Roman"/>
                <w:sz w:val="22"/>
                <w:szCs w:val="22"/>
                <w:lang w:eastAsia="ru-RU"/>
              </w:rPr>
              <w:br/>
            </w:r>
            <w:r>
              <w:rPr>
                <w:rFonts w:cs="Times New Roman"/>
                <w:sz w:val="22"/>
                <w:szCs w:val="22"/>
                <w:lang w:eastAsia="ru-RU"/>
              </w:rPr>
              <w:t>для потребителей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 w:eastAsia="ru-RU"/>
              </w:rPr>
              <w:t>К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омитет </w:t>
            </w:r>
            <w:r>
              <w:rPr>
                <w:rFonts w:cs="Times New Roman"/>
                <w:color w:val="000000"/>
                <w:sz w:val="18"/>
                <w:szCs w:val="18"/>
                <w:lang w:val="ru-RU" w:eastAsia="ru-RU"/>
              </w:rPr>
              <w:t>по взаимодействию с органами местного самоуправления, общим и организационным вопросам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администрации  Сланцевского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cs="Times New Roman"/>
                <w:sz w:val="20"/>
                <w:szCs w:val="20"/>
                <w:lang w:val="ru-RU" w:eastAsia="ru-RU"/>
              </w:rPr>
              <w:t>квартал 2018 год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val="ru-RU" w:eastAsia="ru-RU"/>
              </w:rPr>
              <w:t>2 квартал 2018 год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26,95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26,95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DD" w:rsidRDefault="00A810A5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0000" w:rsidRDefault="00A810A5">
      <w:pPr>
        <w:rPr>
          <w:vanish/>
        </w:rPr>
      </w:pPr>
    </w:p>
    <w:tbl>
      <w:tblPr>
        <w:tblW w:w="14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180"/>
        <w:gridCol w:w="2505"/>
        <w:gridCol w:w="180"/>
        <w:gridCol w:w="2490"/>
        <w:gridCol w:w="180"/>
        <w:gridCol w:w="5730"/>
      </w:tblGrid>
      <w:tr w:rsidR="009311DD">
        <w:tblPrEx>
          <w:tblCellMar>
            <w:top w:w="0" w:type="dxa"/>
            <w:bottom w:w="0" w:type="dxa"/>
          </w:tblCellMar>
        </w:tblPrEx>
        <w:tc>
          <w:tcPr>
            <w:tcW w:w="14355" w:type="dxa"/>
            <w:gridSpan w:val="7"/>
            <w:tcBorders>
              <w:top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311DD" w:rsidRDefault="009311DD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</w:tr>
      <w:tr w:rsidR="009311DD">
        <w:tblPrEx>
          <w:tblCellMar>
            <w:top w:w="0" w:type="dxa"/>
            <w:bottom w:w="0" w:type="dxa"/>
          </w:tblCellMar>
        </w:tblPrEx>
        <w:tc>
          <w:tcPr>
            <w:tcW w:w="30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311DD" w:rsidRDefault="00A810A5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Руководитель программы</w:t>
            </w:r>
          </w:p>
        </w:tc>
        <w:tc>
          <w:tcPr>
            <w:tcW w:w="1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311DD" w:rsidRDefault="009311DD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05" w:type="dxa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311DD" w:rsidRDefault="009311DD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  <w:p w:rsidR="009311DD" w:rsidRDefault="00A810A5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Начальник отдела</w:t>
            </w:r>
          </w:p>
          <w:p w:rsidR="009311DD" w:rsidRDefault="009311DD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311DD" w:rsidRDefault="009311DD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311DD" w:rsidRDefault="009311DD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311DD" w:rsidRDefault="009311DD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311DD" w:rsidRDefault="009311DD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  <w:p w:rsidR="009311DD" w:rsidRDefault="00A810A5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Е.И. Лабызнова</w:t>
            </w:r>
          </w:p>
        </w:tc>
      </w:tr>
      <w:tr w:rsidR="009311DD">
        <w:tblPrEx>
          <w:tblCellMar>
            <w:top w:w="0" w:type="dxa"/>
            <w:bottom w:w="0" w:type="dxa"/>
          </w:tblCellMar>
        </w:tblPrEx>
        <w:tc>
          <w:tcPr>
            <w:tcW w:w="30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311DD" w:rsidRDefault="009311DD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311DD" w:rsidRDefault="009311DD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311DD" w:rsidRDefault="00A810A5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311DD" w:rsidRDefault="009311DD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311DD" w:rsidRDefault="00A810A5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311DD" w:rsidRDefault="009311DD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311DD" w:rsidRDefault="00A810A5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:rsidR="009311DD" w:rsidRDefault="009311DD">
      <w:pPr>
        <w:pStyle w:val="Standard"/>
        <w:widowControl/>
        <w:suppressAutoHyphens w:val="0"/>
        <w:ind w:firstLine="539"/>
        <w:jc w:val="both"/>
        <w:rPr>
          <w:rFonts w:cs="Times New Roman"/>
          <w:color w:val="000000"/>
          <w:sz w:val="22"/>
          <w:szCs w:val="22"/>
          <w:lang w:val="ru-RU" w:eastAsia="ru-RU"/>
        </w:rPr>
      </w:pPr>
    </w:p>
    <w:p w:rsidR="009311DD" w:rsidRDefault="009311D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311DD" w:rsidRDefault="009311D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311DD" w:rsidRDefault="009311D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9311DD">
      <w:pgSz w:w="15840" w:h="12240" w:orient="landscape"/>
      <w:pgMar w:top="720" w:right="850" w:bottom="72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A5" w:rsidRDefault="00A810A5">
      <w:r>
        <w:separator/>
      </w:r>
    </w:p>
  </w:endnote>
  <w:endnote w:type="continuationSeparator" w:id="0">
    <w:p w:rsidR="00A810A5" w:rsidRDefault="00A8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A5" w:rsidRDefault="00A810A5">
      <w:r>
        <w:rPr>
          <w:color w:val="000000"/>
        </w:rPr>
        <w:separator/>
      </w:r>
    </w:p>
  </w:footnote>
  <w:footnote w:type="continuationSeparator" w:id="0">
    <w:p w:rsidR="00A810A5" w:rsidRDefault="00A81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311DD"/>
    <w:rsid w:val="00497190"/>
    <w:rsid w:val="009311DD"/>
    <w:rsid w:val="00A8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C0BB3-D4C9-4E6C-9788-06F6EE87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Основной текст2"/>
    <w:basedOn w:val="Standard"/>
    <w:pPr>
      <w:shd w:val="clear" w:color="auto" w:fill="FFFFFF"/>
      <w:spacing w:before="300" w:line="276" w:lineRule="exact"/>
      <w:jc w:val="both"/>
    </w:pPr>
    <w:rPr>
      <w:sz w:val="23"/>
      <w:szCs w:val="23"/>
      <w:lang w:val="ru-RU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Arial" w:hAnsi="Arial" w:cs="Arial"/>
      <w:sz w:val="20"/>
      <w:szCs w:val="20"/>
      <w:lang w:val="ru-RU" w:eastAsia="zh-CN" w:bidi="ar-SA"/>
    </w:rPr>
  </w:style>
  <w:style w:type="paragraph" w:styleId="a5">
    <w:name w:val="header"/>
    <w:basedOn w:val="Standard"/>
    <w:pPr>
      <w:suppressLineNumbers/>
      <w:tabs>
        <w:tab w:val="center" w:pos="5159"/>
        <w:tab w:val="right" w:pos="10319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Cell">
    <w:name w:val="ConsPlusCell"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inguser">
    <w:name w:val="Heading (user)"/>
    <w:pPr>
      <w:autoSpaceDE w:val="0"/>
    </w:pPr>
    <w:rPr>
      <w:rFonts w:ascii="Arial" w:eastAsia="Arial" w:hAnsi="Arial" w:cs="Arial"/>
      <w:b/>
      <w:bCs/>
      <w:sz w:val="22"/>
      <w:szCs w:val="22"/>
      <w:lang w:val="ru-RU" w:eastAsia="zh-CN" w:bidi="ar-SA"/>
    </w:rPr>
  </w:style>
  <w:style w:type="paragraph" w:styleId="a6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grame">
    <w:name w:val="gr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2018-07-12T12:56:00Z</cp:lastPrinted>
  <dcterms:created xsi:type="dcterms:W3CDTF">2018-09-03T13:22:00Z</dcterms:created>
  <dcterms:modified xsi:type="dcterms:W3CDTF">2018-09-03T13:22:00Z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