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 ПО УПРАВЛЕНИЮ МУНИЦИПАЛЬНЫМ ИМУЩЕСТВОМ</w:t>
      </w:r>
      <w:r>
        <w:rPr>
          <w:rFonts w:ascii="Times New Roman" w:hAnsi="Times New Roman"/>
          <w:b/>
        </w:rPr>
      </w:r>
    </w:p>
    <w:p>
      <w:pPr>
        <w:pStyle w:val="Normal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</w:rPr>
        <w:t xml:space="preserve">ЗЕ</w:t>
      </w:r>
      <w:r>
        <w:rPr>
          <w:rFonts w:ascii="Times New Roman" w:hAnsi="Times New Roman"/>
          <w:b/>
        </w:rPr>
        <w:t xml:space="preserve">М</w:t>
      </w:r>
      <w:r>
        <w:rPr>
          <w:rFonts w:ascii="Times New Roman" w:hAnsi="Times New Roman"/>
          <w:b/>
        </w:rPr>
        <w:t xml:space="preserve">ЕЛЬНЫМИ РЕСУРСАМИ АДМИНИСТРАЦИИ </w:t>
      </w:r>
      <w:r>
        <w:rPr>
          <w:rFonts w:ascii="Times New Roman" w:hAnsi="Times New Roman"/>
          <w:b/>
        </w:rPr>
      </w:r>
    </w:p>
    <w:p>
      <w:pPr>
        <w:pStyle w:val="Normal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СЛАНЦЕВСКИЙ </w:t>
      </w:r>
      <w:r>
        <w:rPr>
          <w:rFonts w:ascii="Times New Roman" w:hAnsi="Times New Roman"/>
          <w:b/>
        </w:rPr>
      </w:r>
    </w:p>
    <w:p>
      <w:pPr>
        <w:pStyle w:val="Normal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МУНИЦИПАЛЬНЫЙ РАЙОН ЛЕНИНГРАДСКОЙ ОБЛАСТИ</w:t>
      </w:r>
      <w:r>
        <w:rPr>
          <w:rFonts w:ascii="Times New Roman" w:hAnsi="Times New Roman"/>
          <w:b/>
        </w:rPr>
      </w:r>
    </w:p>
    <w:p>
      <w:pPr>
        <w:pStyle w:val="Normal"/>
        <w:contextualSpacing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contextualSpacing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contextualSpacing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–П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г.Сланцы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</w:t>
      </w:r>
      <w:r>
        <w:rPr>
          <w:rFonts w:ascii="Times New Roman" w:hAnsi="Times New Roman"/>
          <w:sz w:val="28"/>
          <w:szCs w:val="28"/>
        </w:rPr>
        <w:t xml:space="preserve">.09.2023 г.</w:t>
      </w:r>
    </w:p>
    <w:p>
      <w:pPr>
        <w:pStyle w:val="Normal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68"/>
      </w:tblGrid>
      <w:tr>
        <w:tc>
          <w:tcPr>
            <w:tcW w:w="4068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проведения операций со средствами, поступающими во временное распоряжение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управлению муниципальным имуществом и земельными ресур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сами муниципального образования 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</w:tbl>
    <w:p>
      <w:pPr>
        <w:pStyle w:val="UserStyle_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обеспечения проведения операций со средствами, поступающими во временное распоряжение </w:t>
      </w:r>
      <w:r>
        <w:rPr>
          <w:rFonts w:ascii="Times New Roman" w:hAnsi="Times New Roman"/>
          <w:sz w:val="24"/>
          <w:szCs w:val="24"/>
        </w:rPr>
        <w:t xml:space="preserve">комитет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земельными ресурсами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мун</w:t>
      </w:r>
      <w:r>
        <w:rPr>
          <w:rFonts w:ascii="Times New Roman" w:hAnsi="Times New Roman"/>
          <w:sz w:val="24"/>
          <w:szCs w:val="24"/>
        </w:rPr>
        <w:t xml:space="preserve">иц</w:t>
      </w:r>
      <w:r>
        <w:rPr>
          <w:rFonts w:ascii="Times New Roman" w:hAnsi="Times New Roman"/>
          <w:sz w:val="24"/>
          <w:szCs w:val="24"/>
        </w:rPr>
        <w:t xml:space="preserve">ипального образования Сланцевский </w:t>
      </w:r>
      <w:r>
        <w:rPr>
          <w:rFonts w:ascii="Times New Roman" w:hAnsi="Times New Roman"/>
          <w:sz w:val="24"/>
          <w:szCs w:val="24"/>
        </w:rPr>
        <w:t xml:space="preserve">муниципальный район</w:t>
      </w:r>
      <w:r>
        <w:rPr>
          <w:rFonts w:ascii="Times New Roman" w:hAnsi="Times New Roman"/>
          <w:sz w:val="24"/>
          <w:szCs w:val="24"/>
        </w:rPr>
        <w:t xml:space="preserve"> Ленинградской области, в соответствии со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"consultantplus://offline/ref=88FDECEE9E0404A2CF5D7E090FA6B2BFDDFCCC8199E4A1308086674077B53D9322DCD91B097E5C72A91A43DC26C13F1C3E7E1AACDB2ByDZ9J"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ст. 220.1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"consultantplus://offline/ref=88FDECEE9E0404A2CF5D7E090FA6B2BFDDFCCC8199E4A1308086674077B53D9322DCD91B08755D72A91A43DC26C13F1C3E7E1AACDB2ByDZ9J"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242.17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widowControl w:val="o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b/>
          <w:sz w:val="24"/>
          <w:szCs w:val="24"/>
        </w:rPr>
        <w:t xml:space="preserve">:</w:t>
      </w:r>
    </w:p>
    <w:p>
      <w:pPr>
        <w:pStyle w:val="UserStyle_2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"P35"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Порядок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проведения операций со средствами, поступающими во временное распоряжение администрации </w:t>
      </w:r>
      <w:r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и земельными ресурсами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Сланцевский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Порядок).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sz w:val="24"/>
          <w:szCs w:val="24"/>
        </w:rPr>
        <w:t xml:space="preserve">http://slanmo.ru/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</w:t>
      </w:r>
      <w:r>
        <w:rPr>
          <w:rFonts w:ascii="Times New Roman" w:hAnsi="Times New Roman"/>
          <w:sz w:val="24"/>
          <w:szCs w:val="24"/>
        </w:rPr>
        <w:t xml:space="preserve">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приказа</w:t>
      </w:r>
      <w:r>
        <w:rPr>
          <w:rFonts w:ascii="Times New Roman" w:hAnsi="Times New Roman"/>
          <w:sz w:val="24"/>
          <w:szCs w:val="24"/>
        </w:rPr>
        <w:t xml:space="preserve"> воз</w:t>
      </w:r>
      <w:r>
        <w:rPr>
          <w:rFonts w:ascii="Times New Roman" w:hAnsi="Times New Roman"/>
          <w:sz w:val="24"/>
          <w:szCs w:val="24"/>
        </w:rPr>
        <w:t xml:space="preserve">ложить на главного специалиста- главного бухгалтера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администрации-</w:t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КУМИ Сланцевского</w:t>
      </w:r>
    </w:p>
    <w:p>
      <w:pPr>
        <w:pStyle w:val="Normal"/>
        <w:tabs>
          <w:tab w:val="left" w:pos="1200" w:leader="none"/>
          <w:tab w:val="left" w:pos="6480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</w:t>
        <w:tab/>
        <w:t xml:space="preserve">          Н.А.Никифорчин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</w:t>
      </w:r>
    </w:p>
    <w:p>
      <w:pPr>
        <w:pStyle w:val="Normal"/>
        <w:tabs>
          <w:tab w:val="left" w:pos="1080" w:leader="none"/>
        </w:tabs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комитета по управлению</w:t>
      </w:r>
    </w:p>
    <w:p>
      <w:pPr>
        <w:pStyle w:val="Normal"/>
        <w:tabs>
          <w:tab w:val="left" w:pos="1080" w:leader="none"/>
        </w:tabs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муниципальным имуществом и земельными ресурсами администрации Сланцевского муниципального района</w:t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15.09.2023  № </w:t>
      </w:r>
      <w:r>
        <w:rPr>
          <w:rFonts w:ascii="Times New Roman" w:hAnsi="Times New Roman"/>
        </w:rPr>
        <w:t xml:space="preserve">8-П</w:t>
      </w:r>
      <w:r>
        <w:rPr>
          <w:rFonts w:ascii="Times New Roman" w:hAnsi="Times New Roman"/>
        </w:rPr>
      </w:r>
    </w:p>
    <w:p>
      <w:pPr>
        <w:pStyle w:val="UserStyle_8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</w:t>
      </w:r>
    </w:p>
    <w:p>
      <w:pPr>
        <w:pStyle w:val="UserStyle_2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операций со средствами, поступающими во временное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и земельными ресурсами администрации муниципального образования Сланцевский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>
      <w:pPr>
        <w:pStyle w:val="UserStyle_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</w:t>
      </w:r>
    </w:p>
    <w:p>
      <w:pPr>
        <w:pStyle w:val="UserStyle_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Бюджетным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"consultantplus://offline/ref=17E9923C9E8F7F3C62AD872C400242BD171C07A8334ED299EC122A2A6208A0DC4E1E666037E04EC8BD535FE841zEZCJ"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кодексом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правовыми актами Ленинградской области и определяет порядок проведения операций по поступлениям, перечислениям со средствами, поступающими во временное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- операции со средствами, поступающими во временное распоряжение, </w:t>
      </w:r>
      <w:r>
        <w:rPr>
          <w:rFonts w:ascii="Times New Roman" w:hAnsi="Times New Roman" w:cs="Times New Roman"/>
          <w:sz w:val="24"/>
          <w:szCs w:val="24"/>
        </w:rPr>
        <w:t xml:space="preserve">Комитет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pStyle w:val="BodyText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Операции с денежными средствами, поступающими от участников во временное распоряжение в качестве обеспечения исполнения контракта, </w:t>
      </w:r>
      <w:r>
        <w:rPr>
          <w:b w:val="0"/>
          <w:sz w:val="24"/>
          <w:szCs w:val="24"/>
        </w:rPr>
        <w:t xml:space="preserve">задатка для участия в продаже муниципального имущества, размера обеспечения заявки (задатка) на участие в аукционе на право заключения договора аренды объектов муниципального имущества, земельных участков</w:t>
      </w:r>
      <w:r>
        <w:rPr>
          <w:b w:val="0"/>
          <w:sz w:val="24"/>
          <w:szCs w:val="24"/>
        </w:rPr>
        <w:t xml:space="preserve"> учитываются на лицевом счете, открытом Комитету на казначейском счете № 0323264341642</w:t>
      </w:r>
      <w:r>
        <w:rPr>
          <w:b w:val="0"/>
          <w:sz w:val="24"/>
          <w:szCs w:val="24"/>
        </w:rPr>
        <w:t xml:space="preserve">000</w:t>
      </w:r>
      <w:r>
        <w:rPr>
          <w:b w:val="0"/>
          <w:sz w:val="24"/>
          <w:szCs w:val="24"/>
        </w:rPr>
        <w:t xml:space="preserve">4500 (лицевой счет по учету средств во временном распоряжении-л/с 05453204</w:t>
      </w:r>
      <w:r>
        <w:rPr>
          <w:b w:val="0"/>
          <w:sz w:val="24"/>
          <w:szCs w:val="24"/>
        </w:rPr>
        <w:t xml:space="preserve">69</w:t>
      </w:r>
      <w:r>
        <w:rPr>
          <w:b w:val="0"/>
          <w:sz w:val="24"/>
          <w:szCs w:val="24"/>
        </w:rPr>
        <w:t xml:space="preserve">0). Платежные реквизиты лицевого счета для осуществления операций с денежными средствами, поступающими во временное распоряжение при размещении заказов, аукционов</w:t>
      </w:r>
      <w:r>
        <w:rPr>
          <w:b w:val="0"/>
          <w:sz w:val="24"/>
          <w:szCs w:val="24"/>
        </w:rPr>
        <w:t xml:space="preserve"> по продаже муниципального имущества и на право заключения договора аренды объектов муниципального имущества, земельных участков </w:t>
      </w:r>
      <w:r>
        <w:rPr>
          <w:b w:val="0"/>
          <w:sz w:val="24"/>
          <w:szCs w:val="24"/>
        </w:rPr>
        <w:t xml:space="preserve">указываются Заказчиком в извещении об осуществлении закупки, документации </w:t>
      </w:r>
      <w:r>
        <w:rPr>
          <w:b w:val="0"/>
          <w:sz w:val="24"/>
          <w:szCs w:val="24"/>
        </w:rPr>
        <w:t xml:space="preserve">о закупке, проекте контракта, информационном сообщении о продаже муниципального имущества, аукционной документации </w:t>
      </w:r>
      <w:r>
        <w:rPr>
          <w:b w:val="0"/>
          <w:sz w:val="24"/>
          <w:szCs w:val="24"/>
        </w:rPr>
        <w:t xml:space="preserve">о проведении открытого аукциона на право заключения договора аренды  </w:t>
      </w:r>
      <w:r>
        <w:rPr>
          <w:b w:val="0"/>
          <w:bCs/>
          <w:color w:val="000000"/>
          <w:sz w:val="24"/>
          <w:szCs w:val="24"/>
        </w:rPr>
        <w:t xml:space="preserve">объекта </w:t>
      </w:r>
      <w:r>
        <w:rPr>
          <w:b w:val="0"/>
          <w:bCs/>
          <w:color w:val="000000"/>
          <w:sz w:val="24"/>
          <w:szCs w:val="24"/>
        </w:rPr>
        <w:t xml:space="preserve">муниципального имущества, извещении о проведении аукциона </w:t>
      </w:r>
      <w:r>
        <w:rPr>
          <w:b w:val="0"/>
          <w:sz w:val="24"/>
          <w:szCs w:val="24"/>
        </w:rPr>
        <w:t xml:space="preserve">на право заключения договоров аренды на земельные участки.</w:t>
      </w:r>
      <w:r>
        <w:rPr>
          <w:b w:val="0"/>
          <w:sz w:val="24"/>
          <w:szCs w:val="24"/>
        </w:rPr>
      </w:r>
    </w:p>
    <w:p>
      <w:pPr>
        <w:pStyle w:val="UserStyle_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целях настоящего Порядка применяются следующие термины и понятия:</w:t>
      </w:r>
    </w:p>
    <w:p>
      <w:pPr>
        <w:pStyle w:val="UserStyle_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- орган местного самоуправления, казенное учреждение Ленинградской области;</w:t>
      </w:r>
    </w:p>
    <w:p>
      <w:pPr>
        <w:pStyle w:val="UserStyle_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- организация, в адрес которой перечисляются средства клиента.</w:t>
      </w:r>
    </w:p>
    <w:p>
      <w:pPr>
        <w:pStyle w:val="UserStyle_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 и термины в значениях, установленных в Бюджетном кодексе Российской Федерации и бюджетном законодательстве Российской Федерации и Ленинградской области.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проведения операций по поступлениям лицевой счет по учету средств во временном распоряжении</w:t>
      </w:r>
    </w:p>
    <w:p>
      <w:pPr>
        <w:pStyle w:val="UserStyle_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 лицевой счет по учету средств во временном распоряжении в соответствии с нормативными правовыми актами Российской Федерации подлежат зачислению: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вносимые в качестве обеспечения заявки на участие в конкурсе или аукционе участником размещения заказа;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вносимые в качестве обеспечения исполнения муниципального контракта;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вносимые в качестве задатка для участия в продаже муниципального имущества;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 размер обеспечения заявки (задатка) на участие в аукционе на право заключения договора аренды объектов муниципальной собственности4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 размер обеспечения заявки (задатка) на участие в аукционе на право заключения договора аренды зем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льных участков;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денежные средства, если это предусмотрено нормативными правовыми актами Российской Федерации.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Оформление платежных документов для проведения операций со средствами, находящимися во временном распоряжении, осуществляется в соответствии с нормативными документами Федерального казначейства Российской Федерации, регламентирующими порядок оформления безналичных расчетов в Российской Федерации. 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Остаток средств, поступивших во временное распоряжение на лицевой счет по учету средств во временном распоряжении </w:t>
      </w:r>
      <w:r>
        <w:rPr>
          <w:rFonts w:ascii="Times New Roman" w:hAnsi="Times New Roman" w:cs="Times New Roman"/>
          <w:sz w:val="24"/>
          <w:szCs w:val="24"/>
        </w:rPr>
        <w:t xml:space="preserve">Комитета</w:t>
      </w:r>
      <w:r>
        <w:rPr>
          <w:rFonts w:ascii="Times New Roman" w:hAnsi="Times New Roman" w:cs="Times New Roman"/>
          <w:sz w:val="24"/>
          <w:szCs w:val="24"/>
        </w:rPr>
        <w:t xml:space="preserve">, образовавшийся на конец текущего финансового года, учитывается как переходящий остаток на 1 января очередного финансового года.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Комитет</w:t>
      </w:r>
      <w:r>
        <w:rPr>
          <w:rFonts w:ascii="Times New Roman" w:hAnsi="Times New Roman" w:cs="Times New Roman"/>
          <w:sz w:val="24"/>
          <w:szCs w:val="24"/>
        </w:rPr>
        <w:t xml:space="preserve"> ведет аналитический учет денежных сумм, зачисленных на лицевой счет по учету средств во временном распоряжении, в разрезе плательщиков, осуществляет в соответствии с нормативными правовыми актами Российской Федерации возврат средств плательщикам или перечисление их в доход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Сланцевское городское поселение Сланцевского мун</w:t>
      </w:r>
      <w:r>
        <w:rPr>
          <w:rFonts w:ascii="Times New Roman" w:hAnsi="Times New Roman" w:cs="Times New Roman"/>
          <w:sz w:val="24"/>
          <w:szCs w:val="24"/>
        </w:rPr>
        <w:t xml:space="preserve">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местный бюджет).</w:t>
      </w:r>
    </w:p>
    <w:p>
      <w:pPr>
        <w:pStyle w:val="Normal"/>
        <w:widowControl w:val="o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 перечислении средств на лицевые счета по учету средств во временном распоряжении, плательщик в платежном поручении в реквизите «Получатель» указывает: УФК по Ленинградской области (КУМИ Сланцевского муниципального района, л/с 05453204</w:t>
      </w:r>
      <w:r>
        <w:rPr>
          <w:rFonts w:ascii="Times New Roman" w:hAnsi="Times New Roman"/>
          <w:sz w:val="24"/>
          <w:szCs w:val="24"/>
        </w:rPr>
        <w:t xml:space="preserve">69</w:t>
      </w:r>
      <w:r>
        <w:rPr>
          <w:rFonts w:ascii="Times New Roman" w:hAnsi="Times New Roman"/>
          <w:sz w:val="24"/>
          <w:szCs w:val="24"/>
        </w:rPr>
        <w:t xml:space="preserve">0)</w:t>
      </w:r>
    </w:p>
    <w:p>
      <w:pPr>
        <w:pStyle w:val="Normal"/>
        <w:widowControl w:val="o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</w:t>
      </w:r>
      <w:r>
        <w:rPr>
          <w:rFonts w:ascii="Times New Roman" w:hAnsi="Times New Roman"/>
          <w:sz w:val="24"/>
          <w:szCs w:val="24"/>
        </w:rPr>
        <w:t xml:space="preserve">. При заполнении полей идентификационного номера налогоплательщика (ИНН) и кода причины постановки на учет (КПП) указываются соответствующие цифровые обозначения клиента, присвоенные ему налоговыми органами в установленном порядке.</w:t>
      </w:r>
    </w:p>
    <w:p>
      <w:pPr>
        <w:pStyle w:val="Normal"/>
        <w:widowControl w:val="o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</w:t>
      </w:r>
      <w:r>
        <w:rPr>
          <w:rFonts w:ascii="Times New Roman" w:hAnsi="Times New Roman"/>
          <w:sz w:val="24"/>
          <w:szCs w:val="24"/>
        </w:rPr>
        <w:t xml:space="preserve">. В реквизите «Счет получателя» указывается казначейский счет </w:t>
      </w:r>
      <w:r>
        <w:rPr>
          <w:rFonts w:ascii="Times New Roman" w:hAnsi="Times New Roman"/>
          <w:sz w:val="24"/>
          <w:szCs w:val="24"/>
        </w:rPr>
        <w:t xml:space="preserve">Комитета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</w:t>
      </w:r>
      <w:r>
        <w:rPr>
          <w:rFonts w:ascii="Times New Roman" w:hAnsi="Times New Roman" w:cs="Times New Roman"/>
          <w:sz w:val="24"/>
          <w:szCs w:val="24"/>
        </w:rPr>
        <w:t xml:space="preserve">. В реквизите «Счет банка получателя» указывается номер единого казначей</w:t>
      </w:r>
      <w:r>
        <w:rPr>
          <w:rFonts w:ascii="Times New Roman" w:hAnsi="Times New Roman" w:cs="Times New Roman"/>
          <w:sz w:val="24"/>
          <w:szCs w:val="24"/>
        </w:rPr>
        <w:t xml:space="preserve">ского счета 40102810745370000098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реквизите «Назначение платежа» указывается текстовая часть назначения платежа (обеспечение заявки на участие в конкурсе (аукционе), обеспечение исполнения муниципального контракта (договора), предмет конкурса (аукциона), дата проведения конкурса (аукциона) (в случае проведения торгов), номер лота (в случае проведения торгов по лотам) и т.д.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Суммы, зачисленные на лицевой счет Комитета, без указания (ошибочного указания) наименования клиента, номера лицевого счета (далее - суммы невыясненных поступлений), Комитет учитывает в составе общего остатка на данном счете.</w:t>
      </w:r>
    </w:p>
    <w:p>
      <w:pPr>
        <w:pStyle w:val="UserStyle_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проведения операций по перечислениям с лицевых</w:t>
      </w:r>
    </w:p>
    <w:p>
      <w:pPr>
        <w:pStyle w:val="UserStyle_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счетов по учету средств во временном распоряжении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Операции по перечислению с лицевого счета денежных средств, поступивших во временное распоряжение, осуществляются Комитетом в соответствии с требованиями, установленными законодательством Российской Федерации, после проведения проверки зачисления данных денежных средств на лицевой счет.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</w:t>
      </w:r>
      <w:r>
        <w:rPr>
          <w:rFonts w:ascii="Times New Roman" w:hAnsi="Times New Roman" w:cs="Times New Roman"/>
          <w:sz w:val="24"/>
          <w:szCs w:val="24"/>
        </w:rPr>
        <w:t xml:space="preserve">. С лицевого счета по учету средств во временном распоряжении средства могут быть перечислены: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закупок по итогам размещения и исполнения муниципального контракта в случаях и в порядке, установленных законодательством Российской Федерации в сфере закупок;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продажи муниципального имущества, кроме победителя после подведения итогов продажи;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0"/>
        <w:ind w:right="27" w:firstLine="0"/>
        <w:rPr>
          <w:sz w:val="24"/>
          <w:szCs w:val="24"/>
        </w:rPr>
      </w:pPr>
      <w:r>
        <w:rPr>
          <w:sz w:val="24"/>
          <w:szCs w:val="24"/>
        </w:rPr>
        <w:t xml:space="preserve">        участникам аукциона на право</w:t>
      </w:r>
      <w:r>
        <w:rPr>
          <w:sz w:val="24"/>
          <w:szCs w:val="24"/>
        </w:rPr>
        <w:t xml:space="preserve"> заключения договора аренды муниц</w:t>
      </w:r>
      <w:r>
        <w:rPr>
          <w:sz w:val="24"/>
          <w:szCs w:val="24"/>
        </w:rPr>
        <w:t xml:space="preserve">ипального имущества, за исключением его победителя и участника аукциона, который сделал предпоследнее предложение о цене договора 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даты подписания протокола аукциона;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аукциона на право заключения договора аренды земельных участков после подписания протокола о результатах торгов;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 местного бюджета в случаях, установленных нормативными правовыми актами Российской Федерации или по решению суда;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направления расходования, если это предусмотрено нормативными правов</w:t>
      </w:r>
      <w:r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</w:t>
        <w:tab/>
        <w:t xml:space="preserve">Основанием для перечисления с лицевого счета Заказчика денежных средств, поступивших во временное распоряжение, является письмо Контрагента (Исполнителя, </w:t>
      </w:r>
      <w:r>
        <w:rPr>
          <w:rFonts w:ascii="Times New Roman" w:hAnsi="Times New Roman" w:cs="Times New Roman"/>
          <w:sz w:val="24"/>
          <w:szCs w:val="24"/>
        </w:rPr>
        <w:t xml:space="preserve">участника</w:t>
      </w:r>
      <w:r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 xml:space="preserve">) с заявлением о возврате денежных средств исполнителю, </w:t>
      </w:r>
      <w:r>
        <w:rPr>
          <w:rFonts w:ascii="Times New Roman" w:hAnsi="Times New Roman" w:cs="Times New Roman"/>
          <w:sz w:val="24"/>
          <w:szCs w:val="24"/>
        </w:rPr>
        <w:t xml:space="preserve">участнику</w:t>
      </w:r>
      <w:r>
        <w:rPr>
          <w:rFonts w:ascii="Times New Roman" w:hAnsi="Times New Roman" w:cs="Times New Roman"/>
          <w:sz w:val="24"/>
          <w:szCs w:val="24"/>
        </w:rPr>
        <w:t xml:space="preserve"> или о перечислении денежных средств в бюджет муниципального образования Сланцевское городское поселение Сланцевского муниципального района Ленинградской области (далее – Заявление), рассмотренное (проверенное) сотрудником (</w:t>
      </w:r>
      <w:r>
        <w:rPr>
          <w:rFonts w:ascii="Times New Roman" w:hAnsi="Times New Roman" w:cs="Times New Roman"/>
          <w:sz w:val="24"/>
          <w:szCs w:val="24"/>
        </w:rPr>
        <w:t xml:space="preserve">контрактным управляющим,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Комитета</w:t>
      </w:r>
      <w:r>
        <w:rPr>
          <w:rFonts w:ascii="Times New Roman" w:hAnsi="Times New Roman" w:cs="Times New Roman"/>
          <w:sz w:val="24"/>
          <w:szCs w:val="24"/>
        </w:rPr>
        <w:t xml:space="preserve">) с резолюцией руководителя Комитета.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При перечислении денежных средств Исполнителю Заявление должно содержать перечень необходимых реквизитов исполнителя, которым возвращаются денежные средства, а именно: наименование, юридический адрес, почтовый адрес и фактическое место нахождения участника Исполнителя – юридических лиц (Ф.И.О., паспортные данные, сведения о месте жительства исполнителя – физических лиц), ИНН, КПП, банковские реквизиты счета, на который производится перечисление средств, сумму, подлежащую возврату, и реквизиты документа, на основании которого производится возврат денежных средств.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средства, внесенные Исполнителем в качестве обеспечения исполнения контракта (если такая форма обеспечения исполнения контракта применяется Исполнителем),  в том числе части этих денежных средств в случае уменьшения размера обеспечения исполнения возвращаются Исполнителю при условии надлежащего исполнения Исполнителем всех своих обязательств по настоящему контракту не позднее срока, предусмотренного контрактом.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условий контракта, в том числе необоснованного уклонения от исполнения контракта, необоснованного отказа от исполнения контракта, не предусмотренного условиями контракта, возврат обеспечения исполнения контракта не осуществляется. Денежные средства, предоставленные Исполнителем в качестве обеспечения исполнения контракта, направляются в доход бюджета.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условий контракта, неисполнения обязательств по оплате неустоек (штрафов, пеней), предусмотренных условиями контракта, а также в случае частичного выполнения услуг в рамках контракта и последующего за этим расторжением контракта, возврат обеспечения исполнения контракта осуществляется с учетом положений ст.381.1 ГК РФ.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</w:t>
      </w:r>
      <w:r>
        <w:rPr>
          <w:rFonts w:ascii="Times New Roman" w:hAnsi="Times New Roman" w:cs="Times New Roman"/>
          <w:sz w:val="24"/>
          <w:szCs w:val="24"/>
        </w:rPr>
        <w:t xml:space="preserve">. Случаи, когда заказчик обязан возвратить или вправе не возвращать участникам закупок денежные средства, внесенные в качестве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заявок на участие в конкурсе (аукционе)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устанавливаются в соответствии с действующим федеральным законодательством.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 xml:space="preserve">Возврат денежных средств участникам закупок, внесенных ими в качестве обеспечения заявок на участие в конкурсе (аукционе), производится заказчиком в течение пяти рабочих дней со дня возникновения каждого конкретного обязательства по возврату.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Операции со средствами, поступающими во временное распоряжение клиентов, осуществляются только в безналичном порядке.</w:t>
      </w:r>
    </w:p>
    <w:p>
      <w:pPr>
        <w:pStyle w:val="UserStyle_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00" w:leader="none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 Light">
    <w:panose1 w:val="020F03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353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30" w:hanging="420"/>
      </w:pPr>
      <w:rPr>
        <w:b w:val="0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6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4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1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0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72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4"/>
      <w:numFmt w:val="decimal"/>
      <w:suff w:val="tab"/>
      <w:lvlText w:val="%1.%2"/>
      <w:lvlJc w:val="left"/>
      <w:pPr>
        <w:pStyle w:val="Normal"/>
        <w:ind w:left="109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16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4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6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50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76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84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920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tabs>
        <w:tab w:val="left" w:pos="7371" w:leader="none"/>
      </w:tabs>
      <w:spacing w:before="960" w:after="0" w:line="240" w:lineRule="auto"/>
      <w:outlineLvl w:val="0"/>
    </w:pPr>
    <w:rPr>
      <w:rFonts w:ascii="Times New Roman" w:hAnsi="Times New Roman" w:eastAsia="Times New Roman"/>
      <w:sz w:val="28"/>
      <w:szCs w:val="20"/>
      <w:lang w:val="en-US" w:eastAsia="ru-RU"/>
    </w:rPr>
  </w:style>
  <w:style w:type="paragraph" w:styleId="Heading3">
    <w:name w:val="Заголовок 3"/>
    <w:basedOn w:val="Normal"/>
    <w:next w:val="Normal"/>
    <w:link w:val="UserStyle_1"/>
    <w:uiPriority w:val="9"/>
    <w:qFormat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  <w:lang w:val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1 Знак"/>
    <w:next w:val="UserStyle_0"/>
    <w:link w:val="Heading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UserStyle_2">
    <w:name w:val="ConsPlusNormal"/>
    <w:next w:val="UserStyle_2"/>
    <w:link w:val="Normal"/>
    <w:pPr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UserStyle_3">
    <w:name w:val="ConsPlusCell"/>
    <w:next w:val="UserStyle_3"/>
    <w:link w:val="Normal"/>
    <w:rPr>
      <w:rFonts w:ascii="Arial" w:hAnsi="Arial" w:eastAsia="Times New Roman" w:cs="Arial"/>
      <w:lang w:val="ru-RU" w:eastAsia="ru-RU" w:bidi="ar-SA"/>
    </w:rPr>
  </w:style>
  <w:style w:type="paragraph" w:styleId="Title">
    <w:name w:val="Название"/>
    <w:basedOn w:val="Normal"/>
    <w:next w:val="Title"/>
    <w:link w:val="UserStyle_4"/>
    <w:qFormat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val="en-US" w:eastAsia="ru-RU"/>
    </w:rPr>
  </w:style>
  <w:style w:type="character" w:styleId="UserStyle_4">
    <w:name w:val="Название Знак"/>
    <w:next w:val="UserStyle_4"/>
    <w:link w:val="Title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UserStyle_5">
    <w:name w:val="ConsPlusNonformat"/>
    <w:next w:val="UserStyle_5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UserStyle_6">
    <w:name w:val="Нормальный (таблица)"/>
    <w:basedOn w:val="Normal"/>
    <w:next w:val="Normal"/>
    <w:link w:val="Normal"/>
    <w:uiPriority w:val="99"/>
    <w:pPr>
      <w:widowControl w:val="off"/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character" w:styleId="UserStyle_7">
    <w:name w:val="Цветовое выделение"/>
    <w:next w:val="UserStyle_7"/>
    <w:link w:val="Normal"/>
    <w:rPr>
      <w:b/>
      <w:bCs/>
      <w:color w:val="000080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HtmlNormal">
    <w:name w:val="Обычный (веб),Обычный (Web)"/>
    <w:basedOn w:val="Normal"/>
    <w:next w:val="HtmlNormal"/>
    <w:link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UserStyle_1">
    <w:name w:val="Заголовок 3 Знак"/>
    <w:next w:val="UserStyle_1"/>
    <w:link w:val="Heading3"/>
    <w:uiPriority w:val="9"/>
    <w:semiHidden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paragraph" w:styleId="UserStyle_8">
    <w:name w:val="ConsPlusTitle"/>
    <w:next w:val="UserStyle_8"/>
    <w:link w:val="Normal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9"/>
    <w:pPr>
      <w:keepNext/>
      <w:spacing w:after="0" w:line="240" w:lineRule="auto"/>
    </w:pPr>
    <w:rPr>
      <w:rFonts w:ascii="Times New Roman" w:hAnsi="Times New Roman" w:eastAsia="Times New Roman"/>
      <w:b/>
      <w:sz w:val="32"/>
      <w:szCs w:val="20"/>
      <w:lang w:eastAsia="zh-CN"/>
    </w:rPr>
  </w:style>
  <w:style w:type="character" w:styleId="UserStyle_9">
    <w:name w:val="Основной текст Знак"/>
    <w:basedOn w:val="NormalCharacter"/>
    <w:next w:val="UserStyle_9"/>
    <w:link w:val="BodyText"/>
    <w:rPr>
      <w:rFonts w:ascii="Times New Roman" w:hAnsi="Times New Roman" w:eastAsia="Times New Roman"/>
      <w:b/>
      <w:sz w:val="32"/>
      <w:lang w:eastAsia="zh-CN"/>
    </w:rPr>
  </w:style>
  <w:style w:type="paragraph" w:styleId="UserStyle_10">
    <w:name w:val="Основной текст с отступом 22"/>
    <w:basedOn w:val="Normal"/>
    <w:next w:val="UserStyle_10"/>
    <w:link w:val="Normal"/>
    <w:pPr>
      <w:tabs>
        <w:tab w:val="left" w:pos="1276" w:leader="none"/>
      </w:tabs>
      <w:spacing w:after="0" w:line="240" w:lineRule="auto"/>
      <w:ind w:firstLine="567"/>
      <w:jc w:val="both"/>
    </w:pPr>
    <w:rPr>
      <w:rFonts w:ascii="Times New Roman" w:hAnsi="Times New Roman" w:eastAsia="Times New Roman"/>
      <w:sz w:val="28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10196</Characters>
  <CharactersWithSpaces>11961</CharactersWithSpaces>
  <DocSecurity>0</DocSecurity>
  <HyperlinksChanged>false</HyperlinksChanged>
  <Lines>84</Lines>
  <Pages>5</Pages>
  <Paragraphs>23</Paragraphs>
  <ScaleCrop>false</ScaleCrop>
  <SharedDoc>false</SharedDoc>
  <Template>Normal</Template>
  <Words>1788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kumi23</cp:lastModifiedBy>
  <cp:revision>7</cp:revision>
  <dcterms:created xsi:type="dcterms:W3CDTF">2023-09-14T13:51:00Z</dcterms:created>
  <dcterms:modified xsi:type="dcterms:W3CDTF">2023-10-13T08:21:00Z</dcterms:modified>
  <cp:version>786432</cp:version>
</cp:coreProperties>
</file>