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7" w:rsidRDefault="00F065B7" w:rsidP="00D838AF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</w:t>
      </w:r>
      <w:proofErr w:type="gramStart"/>
      <w:r>
        <w:rPr>
          <w:rFonts w:cs="Times New Roman"/>
          <w:sz w:val="28"/>
          <w:szCs w:val="28"/>
        </w:rPr>
        <w:t>о</w:t>
      </w:r>
      <w:r w:rsidRPr="00F065B7">
        <w:rPr>
          <w:rFonts w:cs="Times New Roman"/>
          <w:sz w:val="28"/>
          <w:szCs w:val="28"/>
        </w:rPr>
        <w:t>ценк</w:t>
      </w:r>
      <w:r>
        <w:rPr>
          <w:rFonts w:cs="Times New Roman"/>
          <w:sz w:val="28"/>
          <w:szCs w:val="28"/>
        </w:rPr>
        <w:t>и</w:t>
      </w:r>
      <w:r w:rsidRPr="00F065B7">
        <w:rPr>
          <w:rFonts w:cs="Times New Roman"/>
          <w:sz w:val="28"/>
          <w:szCs w:val="28"/>
        </w:rPr>
        <w:t xml:space="preserve"> к</w:t>
      </w:r>
      <w:r w:rsidR="00D838AF">
        <w:rPr>
          <w:rFonts w:cs="Times New Roman"/>
          <w:sz w:val="28"/>
          <w:szCs w:val="28"/>
        </w:rPr>
        <w:t>ачества финансового менеджмента</w:t>
      </w:r>
      <w:r w:rsidR="00D838AF">
        <w:rPr>
          <w:rFonts w:cs="Times New Roman"/>
          <w:sz w:val="28"/>
          <w:szCs w:val="28"/>
        </w:rPr>
        <w:br/>
      </w:r>
      <w:r w:rsidR="00D838AF"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 образования</w:t>
      </w:r>
      <w:proofErr w:type="gramEnd"/>
      <w:r w:rsidR="00D838AF"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  <w:r>
        <w:rPr>
          <w:rFonts w:cs="Times New Roman"/>
          <w:sz w:val="28"/>
          <w:szCs w:val="28"/>
        </w:rPr>
        <w:t xml:space="preserve"> за 2018 год</w:t>
      </w:r>
    </w:p>
    <w:p w:rsidR="00F065B7" w:rsidRPr="00D838AF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F065B7" w:rsidRPr="00D838AF" w:rsidTr="00963AAD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F065B7" w:rsidRPr="00D838AF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D838AF" w:rsidRDefault="00F065B7" w:rsidP="00963AAD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D838AF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Ревизионная комиссия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"Сланцевский детский сад № 2"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"Сланцевский детский сад № 10"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МУ "РВС"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Комитет финансов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Комитет образования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Совет депутатов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МОУ "Новосельская ООШ"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"Сланцевский детский сад № 3"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"Гостицкий детский сад № 20"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МУДО "СППЦ"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"Сланцевский детский сад №4"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"Сланцевский детский сад № 5"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МДОУ "Сланцевский детский сад № 7"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МУДО "Сланцевская ДМШ"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МУДО "Сланцевская ДХШ"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963AA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МУДО "Сланцевская ДЮСШ"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 xml:space="preserve">МОУ "Овсищенская </w:t>
            </w:r>
            <w:proofErr w:type="gramStart"/>
            <w:r w:rsidRPr="00BB559D">
              <w:rPr>
                <w:sz w:val="21"/>
                <w:szCs w:val="21"/>
              </w:rPr>
              <w:t>начальная</w:t>
            </w:r>
            <w:proofErr w:type="gramEnd"/>
            <w:r w:rsidRPr="00BB559D">
              <w:rPr>
                <w:sz w:val="21"/>
                <w:szCs w:val="21"/>
              </w:rPr>
              <w:t xml:space="preserve"> школа-детский сад"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BB559D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BB559D" w:rsidRPr="005B43A9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BB559D" w:rsidRDefault="00BB559D" w:rsidP="00BB559D">
            <w:pPr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МКУ "Физкультурно-оздоровительный комплекс "Сланцы"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BB559D" w:rsidRDefault="00BB559D" w:rsidP="00BB559D">
            <w:pPr>
              <w:jc w:val="center"/>
              <w:rPr>
                <w:sz w:val="21"/>
                <w:szCs w:val="21"/>
              </w:rPr>
            </w:pPr>
            <w:r w:rsidRPr="00BB559D">
              <w:rPr>
                <w:sz w:val="21"/>
                <w:szCs w:val="21"/>
              </w:rPr>
              <w:t>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BB559D" w:rsidRDefault="00D838AF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</w:tr>
    </w:tbl>
    <w:p w:rsidR="00D838AF" w:rsidRPr="00D838AF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результатам </w:t>
      </w:r>
      <w:proofErr w:type="gramStart"/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оценк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качества финансового менеджмента</w:t>
      </w: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ный район Ленинградской области</w:t>
      </w:r>
    </w:p>
    <w:p w:rsidR="00D838AF" w:rsidRPr="00D838AF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за 2018 год</w:t>
      </w:r>
    </w:p>
    <w:p w:rsidR="00D838AF" w:rsidRP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муниципального района от 22.02.2019 № 207-п (далее – Порядок), проведена оценка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ГРБС)</w:t>
      </w: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результатам которой </w:t>
      </w: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составлен рейтинг ГРБС по качеству финансового менеджмента.</w:t>
      </w:r>
      <w:proofErr w:type="gramEnd"/>
    </w:p>
    <w:p w:rsidR="006C2028" w:rsidRPr="00D838AF" w:rsidRDefault="006C2028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Согласно пункту 3 Порядка оценка не производилась в отношении ГРБС, которые были реорганизованы в 2018 году.</w:t>
      </w:r>
    </w:p>
    <w:p w:rsidR="00D838AF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</w:t>
      </w:r>
      <w:r w:rsidRPr="00AF0F24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Планирование бюджета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». По направлению оценки «</w:t>
      </w:r>
      <w:r w:rsidR="006630E9" w:rsidRPr="00AF0F24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Планирование бюджета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 семи ГРБС присвоено 6 баллов из максимально возможного значения 7 баллов.</w:t>
      </w:r>
    </w:p>
    <w:p w:rsidR="00AF0F24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</w:t>
      </w:r>
      <w:r w:rsidRPr="00AF0F24">
        <w:rPr>
          <w:rFonts w:eastAsiaTheme="minorHAnsi" w:cs="Times New Roman"/>
          <w:kern w:val="0"/>
          <w:sz w:val="28"/>
          <w:szCs w:val="28"/>
          <w:lang w:eastAsia="en-US" w:bidi="ar-SA"/>
        </w:rPr>
        <w:t>Исполнение бюджета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Соотношение кассовых расходов и плановых объемов бюджетных ассигнований ГРБС в отчетном году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Отношение просроченной кредиторской задолженности ГРБС к объему кассовых расходов ГРБС в отчетном году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6630E9"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Изменение дебиторской задолженности ГРБС в отчетном периоде по сравнению с началом года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</w:t>
      </w:r>
      <w:proofErr w:type="gramEnd"/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оплату расходов ГРБС при осуществлении процедуры санкционирования расходов за счет средств бюджета</w:t>
      </w:r>
      <w:r w:rsidR="006630E9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По направлению оценки «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Исполнение </w:t>
      </w:r>
      <w:r w:rsidR="00E56CFB" w:rsidRPr="00AF0F24">
        <w:rPr>
          <w:rFonts w:eastAsiaTheme="minorHAnsi" w:cs="Times New Roman"/>
          <w:kern w:val="0"/>
          <w:sz w:val="28"/>
          <w:szCs w:val="28"/>
          <w:lang w:eastAsia="en-US" w:bidi="ar-SA"/>
        </w:rPr>
        <w:t>бюджета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» трём ГРБС присвоено 12 баллов из максимально возможного значения 13 баллов.</w:t>
      </w:r>
    </w:p>
    <w:p w:rsidR="0053324E" w:rsidRDefault="006630E9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</w:t>
      </w:r>
      <w:r w:rsidRPr="006630E9">
        <w:rPr>
          <w:rFonts w:eastAsiaTheme="minorHAnsi" w:cs="Times New Roman"/>
          <w:kern w:val="0"/>
          <w:sz w:val="28"/>
          <w:szCs w:val="28"/>
          <w:lang w:eastAsia="en-US" w:bidi="ar-SA"/>
        </w:rPr>
        <w:t>Ведение учета и формирование отчетности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оценка произведена по показателям «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>Своевременность представления в отчетном году ГРБС бюджетной (бухгалтерской) отчетности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ГРБС требований по составу годовой бюджетной отчетности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годовой бюджетной отчетности ГРБС за отчетный год заполненной таблицы «Сведения о проведении инвентаризации»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По направлению оценки «</w:t>
      </w:r>
      <w:r w:rsidR="00E56CFB" w:rsidRPr="00E56CFB">
        <w:rPr>
          <w:rFonts w:eastAsiaTheme="minorHAnsi" w:cs="Times New Roman"/>
          <w:kern w:val="0"/>
          <w:sz w:val="28"/>
          <w:szCs w:val="28"/>
          <w:lang w:eastAsia="en-US" w:bidi="ar-SA"/>
        </w:rPr>
        <w:t>Ведение учета и формирование отчетности</w:t>
      </w:r>
      <w:r w:rsidR="00E56CFB">
        <w:rPr>
          <w:rFonts w:eastAsiaTheme="minorHAnsi" w:cs="Times New Roman"/>
          <w:kern w:val="0"/>
          <w:sz w:val="28"/>
          <w:szCs w:val="28"/>
          <w:lang w:eastAsia="en-US" w:bidi="ar-SA"/>
        </w:rPr>
        <w:t>» трём ГРБС присвоено 2 балла, остальным ГРБС присвоено максимально возможное значение 3 балла.</w:t>
      </w:r>
    </w:p>
    <w:p w:rsidR="00D838AF" w:rsidRP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 части показателей направления оценки «Осуществление внутреннего финансового контроля и аудита» всем ГРБС в соответствии с пунктом 7 Порядка присвоены максимальные значения показателей:</w:t>
      </w:r>
    </w:p>
    <w:p w:rsidR="00D838AF" w:rsidRP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- по показателю «Соответствие документов внутреннего финансового контроля ГРБС (далее – ВФК) требованиям, закрепленным Порядком осуществления ВФК» присвоено по 3 балла – в связи с проведением работы по актуализации Порядка осуществления ВФК проверка документов ВФК ГРБС не проводится;</w:t>
      </w:r>
    </w:p>
    <w:p w:rsid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>- по показателю «Своевременность представления ГРБС годовой отчетности о результатах внутреннего финансового аудита» присвоено по 1 баллу – в соответствии с Порядком составления годовой отчетности главными распорядителями (распорядителями) средств бюджетов Сланцевского муниципального района и Сланцевского городского поселения, главными администраторами (администраторами) доходов бюджетов Сланцевского муниципального района и Сланцевского городского поселения, главными администраторами (администраторами) источников финансового дефицита бюджетов Сланцевского муниципального района и Сланцевского городского</w:t>
      </w:r>
      <w:proofErr w:type="gramEnd"/>
      <w:r w:rsidRPr="00D838A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поселения, о результатах внутреннего финансового аудита, утвержденным приказом комитета финансов от 21.09.2018 № 38/1-од отчетность предоставляется, начиная с отчетности за 2019 год.</w:t>
      </w:r>
    </w:p>
    <w:p w:rsidR="00AF0F24" w:rsidRPr="00D838AF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основании итоговой оценки качества финансового менеджмента ГРБС за 2018 год четырём ГРБС присвоена </w:t>
      </w:r>
      <w:r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6C20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степень качества финансового </w:t>
      </w:r>
      <w:r w:rsidRPr="006C2028">
        <w:rPr>
          <w:rFonts w:eastAsiaTheme="minorHAnsi" w:cs="Times New Roman"/>
          <w:kern w:val="0"/>
          <w:sz w:val="28"/>
          <w:szCs w:val="28"/>
          <w:lang w:eastAsia="en-US" w:bidi="ar-SA"/>
        </w:rPr>
        <w:t>менеджмента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семнадцати ГРБС присвоена </w:t>
      </w:r>
      <w:r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6C20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степень качества финансового </w:t>
      </w:r>
      <w:r w:rsidRPr="006C2028">
        <w:rPr>
          <w:rFonts w:eastAsiaTheme="minorHAnsi" w:cs="Times New Roman"/>
          <w:kern w:val="0"/>
          <w:sz w:val="28"/>
          <w:szCs w:val="28"/>
          <w:lang w:eastAsia="en-US" w:bidi="ar-SA"/>
        </w:rPr>
        <w:t>менеджмента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</w:t>
      </w:r>
      <w:r w:rsidRPr="006C2028">
        <w:rPr>
          <w:rFonts w:eastAsiaTheme="minorHAnsi" w:cs="Times New Roman"/>
          <w:kern w:val="0"/>
          <w:sz w:val="28"/>
          <w:szCs w:val="28"/>
          <w:lang w:eastAsia="en-US" w:bidi="ar-SA"/>
        </w:rPr>
        <w:t>менеджмента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присвоена</w:t>
      </w:r>
      <w:r w:rsidRPr="00AF0F2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ни одному ГРБС.</w:t>
      </w:r>
      <w:bookmarkStart w:id="0" w:name="_GoBack"/>
      <w:bookmarkEnd w:id="0"/>
    </w:p>
    <w:p w:rsidR="00AF0F24" w:rsidRPr="00D838AF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065B7" w:rsidRDefault="00F065B7" w:rsidP="00BB559D">
      <w:pPr>
        <w:tabs>
          <w:tab w:val="left" w:pos="993"/>
        </w:tabs>
        <w:ind w:firstLine="709"/>
        <w:jc w:val="both"/>
      </w:pPr>
    </w:p>
    <w:sectPr w:rsidR="00F065B7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B3A64"/>
    <w:rsid w:val="0053324E"/>
    <w:rsid w:val="006630E9"/>
    <w:rsid w:val="006C2028"/>
    <w:rsid w:val="00A21676"/>
    <w:rsid w:val="00AF0F24"/>
    <w:rsid w:val="00BB559D"/>
    <w:rsid w:val="00D320E8"/>
    <w:rsid w:val="00D838AF"/>
    <w:rsid w:val="00E56CFB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</cp:revision>
  <dcterms:created xsi:type="dcterms:W3CDTF">2019-03-13T05:44:00Z</dcterms:created>
  <dcterms:modified xsi:type="dcterms:W3CDTF">2019-03-13T07:28:00Z</dcterms:modified>
</cp:coreProperties>
</file>