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8B74BE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8B74BE" w:rsidRDefault="005E73E5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территории муниципального образования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район» 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569F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F47BD4" w:rsidRPr="007564E2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развития конкуренции во всех регионах России поставлена Правительством Российской Федерации,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распоряжением Правительства РФ от №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768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 утвержден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>
        <w:t xml:space="preserve">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конкуренции в субъектах Российской Федерации (далее - 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 в рамках реализации </w:t>
      </w:r>
      <w:hyperlink r:id="rId6" w:history="1"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 7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="00EE38C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подпункта «в»</w:t>
        </w:r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пункта 8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 Президента Российской Федерац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от 21 декабря 2017 г. N 618 «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основных направлениях государственной п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олитики по развитию конкуренции»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38CD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7BD4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A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</w:t>
      </w:r>
      <w:proofErr w:type="spellEnd"/>
      <w:r w:rsidR="00140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работа по внедрению Стандарта проводится в соответствии с </w:t>
      </w:r>
      <w:r w:rsidR="00140C5A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администрации Сланцевского муниципального района от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852-п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определении уполномоченного органа по содействию развитию конкуренции на территории Сланцевского муниципального района Ленинградской области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экономического развития и инвестиционной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рынков товаров и услуг и план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(«дорожная карта») по содействию развития конкуренции на территории Сланцевского муниципального района Ленинградской области в 2019 - 2022 годах.</w:t>
      </w:r>
    </w:p>
    <w:p w:rsidR="00910767" w:rsidRPr="00910767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Комитетом экономического развития и инвестиционной деятельности Ленинградской области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Сланцевского муниципального района заключено соглашение о внедрении Стандарта развития конкуренции в Ленинградской области </w:t>
      </w:r>
      <w:r w:rsidR="004B2E5B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29.01.2018 года.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Новое соглашение </w:t>
      </w:r>
      <w:r w:rsidR="005E4C9F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внедрении Стандарта развития конкуренции в Ленинградской области 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заключено 21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color w:val="auto"/>
          <w:sz w:val="28"/>
          <w:szCs w:val="28"/>
        </w:rPr>
        <w:lastRenderedPageBreak/>
        <w:t xml:space="preserve">Раздел 2. </w:t>
      </w:r>
      <w:r w:rsidRPr="00520FD1">
        <w:rPr>
          <w:b/>
          <w:bCs/>
          <w:sz w:val="28"/>
          <w:szCs w:val="28"/>
        </w:rPr>
        <w:t xml:space="preserve">Состояние и развитие конкурентной среды на рынках 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bCs/>
          <w:sz w:val="28"/>
          <w:szCs w:val="28"/>
        </w:rPr>
        <w:t>товаров, работ и услуг</w:t>
      </w:r>
    </w:p>
    <w:p w:rsidR="005C5CDF" w:rsidRPr="007564E2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социально- экономического </w:t>
      </w: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муниципального образования</w:t>
      </w:r>
    </w:p>
    <w:p w:rsidR="005C5CDF" w:rsidRDefault="005C5CDF" w:rsidP="005C5C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Плюсский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река западной части района – Плюсса - впадает в Нарвское водохранилище.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района находится город Сланцы и 155 сельских населенных пунктов.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Гдовом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Новгородом, Ивангородом.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Железнодорожным сообщением город связан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с/т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Сланцевского муниципального района 7 муниципальных образований первого уровня: одно городское поселение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шесть сельских поселений -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Выскатское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Гостицкое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Загривское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Новосельское,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Старопольское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Черновское.</w:t>
      </w:r>
    </w:p>
    <w:p w:rsidR="005C5CDF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Сланцевского района по состоянию на 01.01.20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42296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Главным образом оно сосредоточено в городском поселении (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33073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человек).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CDF" w:rsidRPr="00CA0FCC" w:rsidRDefault="005C5CDF" w:rsidP="005C5CD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5C5CDF" w:rsidRPr="00671FCA" w:rsidRDefault="005C5CDF" w:rsidP="00671F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F1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Оборот организаций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2020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13,6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млрд. руб., что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действующих ценах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больше по сравнению с аналогичным периодом прошлого года.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Отгрузка товаров собственного производства, выполнение работ и услуг крупными и средними предприятиями Сланцевского района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месяцев 2020 года увеличилась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11,7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по сравнению с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10,44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млрд. руб.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Среднемесячная заработная плата в целом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месяцев 2020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увеличилась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по срав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нению с аналогичным периодом 2019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годом и составила </w:t>
      </w:r>
      <w:r w:rsidR="00675AF1" w:rsidRP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646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AF1" w:rsidRP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578,5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рублей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922" w:rsidRPr="006E7922" w:rsidRDefault="006E7922" w:rsidP="004C319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ЕвроАэроБетон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обеспечение электрической энергией, газом и паром; кондиционирование воздуха – АО «Нева-Энергия».</w:t>
      </w:r>
    </w:p>
    <w:p w:rsidR="006E7922" w:rsidRPr="006E7922" w:rsidRDefault="006E7922" w:rsidP="006E792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«СЛАНЦЫ» - одно из старейших предприятий города (ранее ОАО «Завод «Сланцы»), с 1952 года занималось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сланцепереработкой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 Основные виды продукции: электроэнергия,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масло сланцевое, смолы полимерные, сольвент, сольвент каменноугольный, жидкие продукты пиролиза,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кек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Ожидаемое ускорение темпов экономического роста до 1,82% в 2020 году (под влиянием фактора переработки фракции жидких продуктов пиролиза С 9 не менее 1тыс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 в месяц) к предыдущему периоду позволит создать условия для устойчивого экономического роста в будущем. Выход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ООО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«СЛАНЦЫ» на траекторию темпов экономического роста будет способствовать комплекс мер по реализации бизнес-планов: добыча и переработка горючих сланцев, строительство установок с твердым теплоносителем (У1Т-3000).</w:t>
      </w:r>
    </w:p>
    <w:p w:rsidR="00462EC6" w:rsidRDefault="00462EC6" w:rsidP="00462EC6">
      <w:pPr>
        <w:pStyle w:val="32"/>
        <w:numPr>
          <w:ilvl w:val="0"/>
          <w:numId w:val="19"/>
        </w:numPr>
        <w:tabs>
          <w:tab w:val="left" w:pos="600"/>
        </w:tabs>
        <w:ind w:left="0" w:firstLine="709"/>
        <w:rPr>
          <w:sz w:val="28"/>
          <w:szCs w:val="28"/>
          <w:shd w:val="clear" w:color="auto" w:fill="FFFFFF"/>
          <w:lang w:eastAsia="ru-RU"/>
        </w:rPr>
      </w:pPr>
      <w:r w:rsidRPr="00E904B7">
        <w:rPr>
          <w:sz w:val="28"/>
          <w:szCs w:val="28"/>
          <w:shd w:val="clear" w:color="auto" w:fill="FFFFFF"/>
          <w:lang w:eastAsia="ru-RU"/>
        </w:rPr>
        <w:t xml:space="preserve">Среднесписочная численность работников ООО «СЛАНЦЫ» 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уменьшилась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по с</w:t>
      </w:r>
      <w:r>
        <w:rPr>
          <w:sz w:val="28"/>
          <w:szCs w:val="28"/>
          <w:shd w:val="clear" w:color="auto" w:fill="FFFFFF"/>
          <w:lang w:eastAsia="ru-RU"/>
        </w:rPr>
        <w:t>равнению с аналогичным периодом на 4 человека и составила 497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человек</w:t>
      </w:r>
      <w:r>
        <w:rPr>
          <w:sz w:val="28"/>
          <w:szCs w:val="28"/>
          <w:shd w:val="clear" w:color="auto" w:fill="FFFFFF"/>
          <w:lang w:eastAsia="ru-RU"/>
        </w:rPr>
        <w:t>а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(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среднесписочная численность составляла </w:t>
      </w:r>
      <w:r>
        <w:rPr>
          <w:sz w:val="28"/>
          <w:szCs w:val="28"/>
          <w:shd w:val="clear" w:color="auto" w:fill="FFFFFF"/>
          <w:lang w:eastAsia="ru-RU"/>
        </w:rPr>
        <w:t>501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человек).</w:t>
      </w:r>
    </w:p>
    <w:p w:rsidR="00462EC6" w:rsidRPr="00E904B7" w:rsidRDefault="00462EC6" w:rsidP="00462EC6">
      <w:pPr>
        <w:pStyle w:val="32"/>
        <w:numPr>
          <w:ilvl w:val="0"/>
          <w:numId w:val="19"/>
        </w:numPr>
        <w:tabs>
          <w:tab w:val="left" w:pos="600"/>
        </w:tabs>
        <w:ind w:left="0" w:firstLine="709"/>
        <w:rPr>
          <w:sz w:val="28"/>
          <w:szCs w:val="28"/>
          <w:shd w:val="clear" w:color="auto" w:fill="FFFFFF"/>
          <w:lang w:eastAsia="ru-RU"/>
        </w:rPr>
      </w:pPr>
      <w:r w:rsidRPr="00E904B7">
        <w:rPr>
          <w:sz w:val="28"/>
          <w:szCs w:val="28"/>
          <w:shd w:val="clear" w:color="auto" w:fill="FFFFFF"/>
          <w:lang w:eastAsia="ru-RU"/>
        </w:rPr>
        <w:t xml:space="preserve"> Среднемесячная заработная плата на предприятии 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увеличилась по отношению </w:t>
      </w:r>
      <w:r>
        <w:rPr>
          <w:sz w:val="28"/>
          <w:szCs w:val="28"/>
        </w:rPr>
        <w:t>к</w:t>
      </w:r>
      <w:r w:rsidRPr="00E904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9 месяцам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sz w:val="28"/>
          <w:szCs w:val="28"/>
          <w:shd w:val="clear" w:color="auto" w:fill="FFFFFF"/>
          <w:lang w:eastAsia="ru-RU"/>
        </w:rPr>
        <w:t>4,8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% </w:t>
      </w:r>
      <w:r>
        <w:rPr>
          <w:sz w:val="28"/>
          <w:szCs w:val="28"/>
          <w:shd w:val="clear" w:color="auto" w:fill="FFFFFF"/>
          <w:lang w:eastAsia="ru-RU"/>
        </w:rPr>
        <w:t xml:space="preserve">и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составила </w:t>
      </w:r>
      <w:r>
        <w:rPr>
          <w:sz w:val="28"/>
          <w:szCs w:val="28"/>
          <w:shd w:val="clear" w:color="auto" w:fill="FFFFFF"/>
          <w:lang w:eastAsia="ru-RU"/>
        </w:rPr>
        <w:t>33240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рублей (</w:t>
      </w:r>
      <w:r w:rsidRPr="00E904B7">
        <w:rPr>
          <w:sz w:val="28"/>
          <w:szCs w:val="28"/>
        </w:rPr>
        <w:t xml:space="preserve">за </w:t>
      </w:r>
      <w:r>
        <w:rPr>
          <w:sz w:val="28"/>
          <w:szCs w:val="28"/>
          <w:shd w:val="clear" w:color="auto" w:fill="FFFFFF"/>
          <w:lang w:eastAsia="ru-RU"/>
        </w:rPr>
        <w:t>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среднемесячная заработная плата составляла </w:t>
      </w:r>
      <w:r>
        <w:rPr>
          <w:sz w:val="28"/>
          <w:szCs w:val="28"/>
          <w:shd w:val="clear" w:color="auto" w:fill="FFFFFF"/>
          <w:lang w:eastAsia="ru-RU"/>
        </w:rPr>
        <w:t xml:space="preserve">31708 </w:t>
      </w:r>
      <w:r w:rsidRPr="00E904B7">
        <w:rPr>
          <w:sz w:val="28"/>
          <w:szCs w:val="28"/>
          <w:shd w:val="clear" w:color="auto" w:fill="FFFFFF"/>
          <w:lang w:eastAsia="ru-RU"/>
        </w:rPr>
        <w:t>рублей).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предприятии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6E7922" w:rsidRPr="006E7922" w:rsidRDefault="006E7922" w:rsidP="007C74A7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был введен в эксплуатацию в 1960 году. С 2001 года собственником предприятия является немецкая холдинговая компания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HeidelbergCementGroup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работает по энергосберегающей технологии - сухому способу производства и специализируется на выпуске следующих марок цемента, пользующихся повышенным спросом на потребительском рынке (М500 ДО, М400 ДО, М400Д20 и др.) В 2018 году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реализовал инвестиционный проект, направленный на автоматизацию внутризаводской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инфраструктуры, а именно строительство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автонавалочного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комплекса, подающего цемент на погрузку в цементовозы под воздействием сжатого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воздуха. </w:t>
      </w:r>
    </w:p>
    <w:p w:rsidR="004C3190" w:rsidRPr="004C3190" w:rsidRDefault="004C3190" w:rsidP="004C319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Среднесписочная численность работающих за 9 месяцев 2020 года сократилась  по сравнению с предыдущим годом на 8 человек (2,4 %)  и составила 319 человек (за 9 месяцев 2019 года среднесписочная численность составляла 327 человек).</w:t>
      </w:r>
    </w:p>
    <w:p w:rsidR="004C3190" w:rsidRPr="004C3190" w:rsidRDefault="004C3190" w:rsidP="004C3190">
      <w:pPr>
        <w:pStyle w:val="a5"/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заработная плата на предприятии за 9 месяцев 2020 года увеличилась по отношению к 9 месяцам 2019 года на 7,7 % и составила 57167 рублей (за 9 месяцев 2019 года среднемесячная заработная плата составляла 53 064 рубля).</w:t>
      </w:r>
    </w:p>
    <w:p w:rsidR="00462EC6" w:rsidRPr="00462EC6" w:rsidRDefault="006E7922" w:rsidP="00D90B06">
      <w:pPr>
        <w:pStyle w:val="32"/>
        <w:tabs>
          <w:tab w:val="left" w:pos="600"/>
        </w:tabs>
        <w:ind w:firstLine="709"/>
        <w:rPr>
          <w:rFonts w:cstheme="minorBidi"/>
          <w:color w:val="000000"/>
          <w:sz w:val="28"/>
          <w:szCs w:val="28"/>
          <w:lang w:eastAsia="ru-RU"/>
        </w:rPr>
      </w:pPr>
      <w:r w:rsidRPr="006E7922">
        <w:rPr>
          <w:rFonts w:cstheme="minorBidi"/>
          <w:color w:val="000000"/>
          <w:sz w:val="28"/>
          <w:szCs w:val="28"/>
          <w:lang w:eastAsia="ru-RU"/>
        </w:rPr>
        <w:t>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 осуществляет деятельность на территории с 2010 года. В настоящее время входит в Холдинг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», с которым Правительство Ленинградской области, в рамках Российского инвестиционного форума в Сочи, заключили соглашение о социально-экономическом сотрудничестве. Соглашение предполагает взаимодействие правительства Ленинградской области и холдинга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>» по вопросам создания и развития промышленной инфраструктуры Ленинградской области, а также формирования условий для реализации проектов по переводу сразу двух предприятий холдинга, расположенных в Ленинградской области, на новую технологическую платформу. На площадке 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завершено строительство собственной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газопоршневой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 теплоэлектростанции мощностью 24,9 МВт. </w:t>
      </w:r>
      <w:r w:rsidRPr="006E7922">
        <w:rPr>
          <w:rFonts w:cstheme="minorBidi"/>
          <w:color w:val="000000"/>
          <w:sz w:val="28"/>
          <w:szCs w:val="28"/>
          <w:lang w:eastAsia="ru-RU"/>
        </w:rPr>
        <w:tab/>
      </w:r>
      <w:r w:rsidR="00462EC6" w:rsidRPr="00462EC6">
        <w:rPr>
          <w:rFonts w:cstheme="minorBidi"/>
          <w:color w:val="000000"/>
          <w:sz w:val="28"/>
          <w:szCs w:val="28"/>
          <w:lang w:eastAsia="ru-RU"/>
        </w:rPr>
        <w:t>Среднесписочная численность работников ООО «</w:t>
      </w:r>
      <w:proofErr w:type="spellStart"/>
      <w:r w:rsidR="00462EC6" w:rsidRPr="00462EC6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="00462EC6" w:rsidRPr="00462EC6">
        <w:rPr>
          <w:rFonts w:cstheme="minorBidi"/>
          <w:color w:val="000000"/>
          <w:sz w:val="28"/>
          <w:szCs w:val="28"/>
          <w:lang w:eastAsia="ru-RU"/>
        </w:rPr>
        <w:t xml:space="preserve">» за 9 месяцев 2020 года составила 466 человек. </w:t>
      </w:r>
    </w:p>
    <w:p w:rsidR="006E7922" w:rsidRPr="00462EC6" w:rsidRDefault="00462EC6" w:rsidP="00462EC6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Среднемесячная заработная плата на предприятии за 9 месяцев 2020 года увеличилась по отношению к 9 месяцам 2019 года </w:t>
      </w:r>
      <w:r w:rsidR="00D90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7 % и составила 43 922 рубл</w:t>
      </w:r>
      <w:r w:rsidR="00705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62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9 месяцев 2020 года среднемесячная заработная плата составляла 41 049 рублей).</w:t>
      </w:r>
    </w:p>
    <w:p w:rsidR="0070557C" w:rsidRPr="0070557C" w:rsidRDefault="006E7922" w:rsidP="006E7922">
      <w:pPr>
        <w:pStyle w:val="32"/>
        <w:numPr>
          <w:ilvl w:val="0"/>
          <w:numId w:val="19"/>
        </w:numPr>
        <w:tabs>
          <w:tab w:val="left" w:pos="600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E75960">
        <w:rPr>
          <w:rFonts w:cstheme="minorBidi"/>
          <w:color w:val="000000"/>
          <w:sz w:val="28"/>
          <w:szCs w:val="28"/>
          <w:lang w:eastAsia="ru-RU"/>
        </w:rPr>
        <w:t>В 2008 году было закончено строительство завода по производству газобетона - ЗАО «</w:t>
      </w:r>
      <w:proofErr w:type="spellStart"/>
      <w:r w:rsidRPr="00E75960">
        <w:rPr>
          <w:rFonts w:cstheme="minorBidi"/>
          <w:color w:val="000000"/>
          <w:sz w:val="28"/>
          <w:szCs w:val="28"/>
          <w:lang w:eastAsia="ru-RU"/>
        </w:rPr>
        <w:t>ЕвроАэроБетон</w:t>
      </w:r>
      <w:proofErr w:type="spellEnd"/>
      <w:r w:rsidRPr="00E75960">
        <w:rPr>
          <w:rFonts w:cstheme="minorBidi"/>
          <w:color w:val="000000"/>
          <w:sz w:val="28"/>
          <w:szCs w:val="28"/>
          <w:lang w:eastAsia="ru-RU"/>
        </w:rPr>
        <w:t>». Запуск нового завода состоялся 23 декабря 2008 года. В непосредственной близости от предприятия располагаются основные поставщики сырья для производства газобетона, в т.ч. два цементных завода, завод по производству извести, залежи кварцевого песка, залежи гипса. В настоящее время предприятие продолжает свое планомерное развитие</w:t>
      </w:r>
      <w:r w:rsidR="0070557C">
        <w:rPr>
          <w:rFonts w:cstheme="minorBidi"/>
          <w:color w:val="000000"/>
          <w:sz w:val="28"/>
          <w:szCs w:val="28"/>
          <w:lang w:eastAsia="ru-RU"/>
        </w:rPr>
        <w:t>. Н</w:t>
      </w:r>
      <w:r w:rsidRPr="00E75960">
        <w:rPr>
          <w:rFonts w:cstheme="minorBidi"/>
          <w:color w:val="000000"/>
          <w:sz w:val="28"/>
          <w:szCs w:val="28"/>
          <w:lang w:eastAsia="ru-RU"/>
        </w:rPr>
        <w:t>а предприяти</w:t>
      </w:r>
      <w:r w:rsidR="0070557C">
        <w:rPr>
          <w:rFonts w:cstheme="minorBidi"/>
          <w:color w:val="000000"/>
          <w:sz w:val="28"/>
          <w:szCs w:val="28"/>
          <w:lang w:eastAsia="ru-RU"/>
        </w:rPr>
        <w:t>е работает</w:t>
      </w:r>
      <w:r w:rsidRPr="00E75960">
        <w:rPr>
          <w:rFonts w:cstheme="minorBidi"/>
          <w:color w:val="000000"/>
          <w:sz w:val="28"/>
          <w:szCs w:val="28"/>
          <w:lang w:eastAsia="ru-RU"/>
        </w:rPr>
        <w:t xml:space="preserve"> 101 человек.</w:t>
      </w:r>
      <w:r w:rsidR="00E75960">
        <w:rPr>
          <w:rFonts w:cstheme="minorBidi"/>
          <w:color w:val="000000"/>
          <w:sz w:val="28"/>
          <w:szCs w:val="28"/>
          <w:lang w:eastAsia="ru-RU"/>
        </w:rPr>
        <w:t xml:space="preserve"> </w:t>
      </w:r>
    </w:p>
    <w:p w:rsidR="006E7922" w:rsidRPr="00E75960" w:rsidRDefault="00E75960" w:rsidP="006E7922">
      <w:pPr>
        <w:pStyle w:val="32"/>
        <w:numPr>
          <w:ilvl w:val="0"/>
          <w:numId w:val="19"/>
        </w:numPr>
        <w:tabs>
          <w:tab w:val="left" w:pos="600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rFonts w:cstheme="minorBidi"/>
          <w:color w:val="000000"/>
          <w:sz w:val="28"/>
          <w:szCs w:val="28"/>
          <w:lang w:eastAsia="ru-RU"/>
        </w:rPr>
        <w:t>З</w:t>
      </w:r>
      <w:r w:rsidR="006E7922" w:rsidRPr="00E75960">
        <w:rPr>
          <w:color w:val="000000"/>
          <w:sz w:val="28"/>
          <w:szCs w:val="28"/>
          <w:lang w:eastAsia="ru-RU"/>
        </w:rPr>
        <w:t xml:space="preserve">а </w:t>
      </w:r>
      <w:r w:rsidR="00870B9A" w:rsidRPr="00E75960">
        <w:rPr>
          <w:color w:val="000000"/>
          <w:sz w:val="28"/>
          <w:szCs w:val="28"/>
          <w:lang w:eastAsia="ru-RU"/>
        </w:rPr>
        <w:t>9 месяцев 2020</w:t>
      </w:r>
      <w:r w:rsidR="006E7922" w:rsidRPr="00E75960">
        <w:rPr>
          <w:color w:val="000000"/>
          <w:sz w:val="28"/>
          <w:szCs w:val="28"/>
          <w:lang w:eastAsia="ru-RU"/>
        </w:rPr>
        <w:t xml:space="preserve"> год</w:t>
      </w:r>
      <w:r w:rsidR="00870B9A" w:rsidRPr="00E75960">
        <w:rPr>
          <w:color w:val="000000"/>
          <w:sz w:val="28"/>
          <w:szCs w:val="28"/>
          <w:lang w:eastAsia="ru-RU"/>
        </w:rPr>
        <w:t>а</w:t>
      </w:r>
      <w:r w:rsidR="006E7922" w:rsidRPr="00E75960">
        <w:rPr>
          <w:color w:val="000000"/>
          <w:sz w:val="28"/>
          <w:szCs w:val="28"/>
          <w:lang w:eastAsia="ru-RU"/>
        </w:rPr>
        <w:t xml:space="preserve"> промышленными предприятиями отгружено товаров собственного производства на </w:t>
      </w:r>
      <w:r w:rsidR="00870B9A" w:rsidRPr="00E75960">
        <w:rPr>
          <w:color w:val="000000"/>
          <w:sz w:val="28"/>
          <w:szCs w:val="28"/>
          <w:lang w:eastAsia="ru-RU"/>
        </w:rPr>
        <w:t xml:space="preserve">8,96 </w:t>
      </w:r>
      <w:r w:rsidR="006E7922" w:rsidRPr="00E75960">
        <w:rPr>
          <w:color w:val="000000"/>
          <w:sz w:val="28"/>
          <w:szCs w:val="28"/>
          <w:lang w:eastAsia="ru-RU"/>
        </w:rPr>
        <w:t xml:space="preserve">млрд. руб., что в действующих ценах на </w:t>
      </w:r>
      <w:r w:rsidR="00870B9A" w:rsidRPr="00E75960">
        <w:rPr>
          <w:color w:val="000000"/>
          <w:sz w:val="28"/>
          <w:szCs w:val="28"/>
          <w:lang w:eastAsia="ru-RU"/>
        </w:rPr>
        <w:t>9,6</w:t>
      </w:r>
      <w:r w:rsidR="006E7922" w:rsidRPr="00E75960">
        <w:rPr>
          <w:color w:val="000000"/>
          <w:sz w:val="28"/>
          <w:szCs w:val="28"/>
          <w:lang w:eastAsia="ru-RU"/>
        </w:rPr>
        <w:t xml:space="preserve"> % </w:t>
      </w:r>
      <w:r w:rsidR="00870B9A" w:rsidRPr="00E75960">
        <w:rPr>
          <w:color w:val="000000"/>
          <w:sz w:val="28"/>
          <w:szCs w:val="28"/>
          <w:lang w:eastAsia="ru-RU"/>
        </w:rPr>
        <w:t>больше</w:t>
      </w:r>
      <w:r w:rsidR="006E7922" w:rsidRPr="00E75960">
        <w:rPr>
          <w:color w:val="000000"/>
          <w:sz w:val="28"/>
          <w:szCs w:val="28"/>
          <w:lang w:eastAsia="ru-RU"/>
        </w:rPr>
        <w:t xml:space="preserve">, чем за аналогичный период </w:t>
      </w:r>
      <w:r w:rsidR="00870B9A" w:rsidRPr="00E75960">
        <w:rPr>
          <w:color w:val="000000"/>
          <w:sz w:val="28"/>
          <w:szCs w:val="28"/>
          <w:lang w:eastAsia="ru-RU"/>
        </w:rPr>
        <w:t>2019</w:t>
      </w:r>
      <w:r w:rsidR="006E7922" w:rsidRPr="00E75960">
        <w:rPr>
          <w:color w:val="000000"/>
          <w:sz w:val="28"/>
          <w:szCs w:val="28"/>
          <w:lang w:eastAsia="ru-RU"/>
        </w:rPr>
        <w:t xml:space="preserve"> года.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Среднесписочная численность, работающих в промышленности, увеличилась на </w:t>
      </w:r>
      <w:r w:rsidR="00870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,5 % и на 01.</w:t>
      </w:r>
      <w:r w:rsidR="00DA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 составила 1 8</w:t>
      </w:r>
      <w:r w:rsidR="00870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</w:t>
      </w:r>
    </w:p>
    <w:p w:rsidR="00486B86" w:rsidRPr="006E7922" w:rsidRDefault="00486B86" w:rsidP="00486B86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увеличилась на </w:t>
      </w:r>
      <w:r w:rsid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4,3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сравнении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аналогичным периодом 2019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составила </w:t>
      </w:r>
      <w:r w:rsidR="00C95FD0" w:rsidRP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95FD0" w:rsidRP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469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  <w:r w:rsidRPr="00671FCA">
        <w:rPr>
          <w:b/>
          <w:sz w:val="28"/>
          <w:u w:val="single"/>
        </w:rPr>
        <w:t>Сельское хозяйство</w:t>
      </w: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Сланцевского района в сфере агропромышленного производства осуществляют деятельность 4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сельскохозяйственных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предприятия: АО «Родина», ЗАО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Крафт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6E7922" w:rsidRPr="006E7922" w:rsidRDefault="0070557C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предприятия</w:t>
      </w:r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пищевой и перерабатывающей промышленности: ИП Грязнова Т.Н., ООО «</w:t>
      </w:r>
      <w:proofErr w:type="spellStart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Галакс</w:t>
      </w:r>
      <w:proofErr w:type="spellEnd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«Нар», ООО «Русский промышленник», и предприятие по разведению радужной форели – ООО «</w:t>
      </w:r>
      <w:proofErr w:type="spellStart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Гальян</w:t>
      </w:r>
      <w:proofErr w:type="spellEnd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хозяйстве составила 3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Среднемесячная 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увеличилась на 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6,5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сравнении с 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аналогичным периодом 2019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составила </w:t>
      </w:r>
      <w:r w:rsidR="007D3C5C" w:rsidRP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D3C5C" w:rsidRP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367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0477F8" w:rsidRDefault="000477F8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r w:rsidR="0070557C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Сланцы,</w:t>
      </w: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тупиковая и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неэлектрифицирована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</w:t>
      </w: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Гдовом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, Новгородом, Кингисеппом, Ивангородом.</w:t>
      </w: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ab/>
        <w:t xml:space="preserve">Общая протяженность автомобильных дорог в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Сланцевском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муниципальном районе составляет 1943,04 км, в том числе:</w:t>
      </w:r>
    </w:p>
    <w:p w:rsidR="00F67D22" w:rsidRPr="00182208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F67D22" w:rsidRPr="00182208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F67D22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проселочные и прочие дороги – 1259,16 км.</w:t>
      </w:r>
    </w:p>
    <w:p w:rsidR="00F67D22" w:rsidRPr="00182208" w:rsidRDefault="00F67D22" w:rsidP="00F67D22">
      <w:pPr>
        <w:widowControl w:val="0"/>
        <w:tabs>
          <w:tab w:val="left" w:pos="616"/>
        </w:tabs>
        <w:suppressAutoHyphens/>
        <w:spacing w:after="0" w:line="240" w:lineRule="auto"/>
        <w:ind w:left="97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57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0477F8" w:rsidRDefault="000477F8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827" w:rsidRPr="0038121C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</w:t>
      </w:r>
      <w:r w:rsidRPr="0038121C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промышленных площадках на территории Сланцевского муниципального района, с привязкой к карте.</w:t>
      </w:r>
    </w:p>
    <w:p w:rsidR="00342827" w:rsidRPr="0038121C" w:rsidRDefault="00480EF0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2020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года объем инвестиций предприятий и организаций всех видов экономической деятельности составил </w:t>
      </w:r>
      <w:r>
        <w:rPr>
          <w:rFonts w:ascii="Times New Roman" w:hAnsi="Times New Roman" w:cs="Times New Roman"/>
          <w:bCs/>
          <w:sz w:val="28"/>
          <w:szCs w:val="28"/>
        </w:rPr>
        <w:t>969,959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млн. руб., что </w:t>
      </w:r>
      <w:r>
        <w:rPr>
          <w:rFonts w:ascii="Times New Roman" w:hAnsi="Times New Roman" w:cs="Times New Roman"/>
          <w:bCs/>
          <w:sz w:val="28"/>
          <w:szCs w:val="28"/>
        </w:rPr>
        <w:t>в 1,6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bCs/>
          <w:sz w:val="28"/>
          <w:szCs w:val="28"/>
        </w:rPr>
        <w:t>больше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>, чем за аналогичный период прошлого года. В основном (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>%) - это собственные средства предприятий.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42827" w:rsidRPr="00DA0778" w:rsidRDefault="00342827" w:rsidP="007C74A7">
      <w:pPr>
        <w:pStyle w:val="a5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цементный завод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Цесла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продолжает реализацию инвестиционных проектов, направленных на автоматизацию внутризаводской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логистической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инфраструктуры, модернизацию основного производственного оборудования, усиление добывающих и перерабатывающих мощностей, дальнейшую разработку карьера.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ООО «СЛАНЦЫ» разработаны проекты по возобновлению добычи горючих сланцев открытым способом, строительству установки по производству метанола и сланцевого масла, организации частного индустриального парка на промышленной площадке предприятия.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С 2018 года реализуется проект по производству резиновой обув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«БТР-С».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Продолжает реализацию инвестиционных проектов ООО «Инновационные технологии» по внедрению  оборудования для непрерывной печати на полимерных пленках и оборудования намотки/размотки для непрерывной печати на полимерных пленках.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Ведется работа по реализации инвестиционного проект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Иск-Энерго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по производству чёрных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пеллет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биотоплива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, получаемого из торфа, древесных отходов и отходов сельского хозяйства. В 2019 году получено разрешение на строительство производства.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Осьминское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» ведет работу по реализации проекта по модернизации молочно-товарной фермы на 1000 коров в д. Замошье.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Также с целью привлечения дополнительных инвестиций и благоустройства города, администрация провела работу по подаче 3-х проектных заявок по Программе приграничного сотрудничества «Россия - Эстония». Идеей 2-х проектов является приведение в порядок существующей инфраструктуры прибрежной зоны р. Плюсса и парка у 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памятника Славы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для развития предпринимательства в сфере предоставления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услуг, общественного питания, народных промыслов, а также развития водного туризма. В 2019 году заключено партнерское соглашение с Департаментом развития и экономики города Нарвы о реализации проекта по благоустройству прибрежной зоны р. Плюсса. </w:t>
      </w:r>
      <w:r w:rsidR="0070557C">
        <w:rPr>
          <w:rFonts w:ascii="Times New Roman" w:hAnsi="Times New Roman" w:cs="Times New Roman"/>
          <w:bCs/>
          <w:sz w:val="28"/>
          <w:szCs w:val="28"/>
        </w:rPr>
        <w:t xml:space="preserve">В 2020 году заключены 2 </w:t>
      </w:r>
      <w:proofErr w:type="gramStart"/>
      <w:r w:rsidR="000E7087">
        <w:rPr>
          <w:rFonts w:ascii="Times New Roman" w:hAnsi="Times New Roman" w:cs="Times New Roman"/>
          <w:bCs/>
          <w:sz w:val="28"/>
          <w:szCs w:val="28"/>
        </w:rPr>
        <w:t>партнерских</w:t>
      </w:r>
      <w:proofErr w:type="gramEnd"/>
      <w:r w:rsidR="000E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57C">
        <w:rPr>
          <w:rFonts w:ascii="Times New Roman" w:hAnsi="Times New Roman" w:cs="Times New Roman"/>
          <w:bCs/>
          <w:sz w:val="28"/>
          <w:szCs w:val="28"/>
        </w:rPr>
        <w:t xml:space="preserve">соглашения с </w:t>
      </w:r>
      <w:r w:rsidR="000E7087">
        <w:rPr>
          <w:rFonts w:ascii="Times New Roman" w:hAnsi="Times New Roman" w:cs="Times New Roman"/>
          <w:bCs/>
          <w:sz w:val="28"/>
          <w:szCs w:val="28"/>
        </w:rPr>
        <w:t xml:space="preserve">Эстонской Республикой.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для размещения производств и ведения предпринимательской деятельности.</w:t>
      </w:r>
    </w:p>
    <w:p w:rsidR="00342827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827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ресурсы.</w:t>
      </w:r>
    </w:p>
    <w:p w:rsidR="00CC332B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CDF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D34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администрации Сланцевского муниципального рай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от 28 октября 2019 №1679-п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Сланцевского муниципального района Ленинградской области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0C28" w:rsidRPr="005E0C2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риоритетным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товаров, работ и услуг </w:t>
      </w:r>
      <w:r w:rsidR="005E0C28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Сланцевского муниципального района Ленинградской области 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910767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21D00" w:rsidRPr="00C101BC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97D" w:rsidRDefault="0082397D" w:rsidP="000C328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многоквартирными домами (МКД) осуществляют 18 организаций (из них 8 управляющих компаний, 1 муниципальное предприятие,  и 9 - ЖСК и ТСН), обслуживающих 445 МКД общей площадью 966 427,18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, и 4 МКД,  находящихся в непосредственном управлении общей площадью 2402,6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(по информации, обязательной к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www.reformagkh.ru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ООО «СЖХ» - 15 МКД общей площадью 98948,19  м</w:t>
      </w:r>
      <w:r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- 23 МКД общей площадью 28856,36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ООО «ГУЖК» - 75 МКД общей площадью 349796,63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 ООО «ЛУЧКИ» - 160 МКД общей площадью 137731,00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5. ООО «ЖКТ» - 27 МКД общей площадью 120251,63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6. ООО «ВИРА сервис» - 80 МКД общей площадью 205760,67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7. МП «ККП» - 2 МКД общей площадью 2332,9 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8. ЖСК «Стрела» - 1 МКД общей площадью  2005,00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9. ЖСК «Молодежный» - 1 МКД общей площадью 6554,0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10. ЖСК «Дружба» - 1 МКД общей площадью 3474,4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11. ТСН «Ленина 19б» - 1 МКД общей площадью 6619,0 м²;</w:t>
      </w:r>
    </w:p>
    <w:p w:rsidR="0082397D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12. ТСН «МЖК» - 1 МКД общей площадью 4097,4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ООО «Геста» - 23 МКД общей площадью 71459,7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ООО «УК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- 17 МКД общей площадью 53570,69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ТСЖ «Загривье-6» - 10 МКД общей площадью 16226,99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ТСЖ «Новосельское» - 6 МКД общей площадью 23458,4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ТСЖ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P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ТСЖ «Возрождение» - 1 МКД общей площадью 3649,5 м²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пер. Островского, д.2 - 1 МКД общей площадью 398,5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Островского, д.15 - 1 МКД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3213,9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д.3- 1 МКД общей площадью 390,3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д.5 - 1 МКД общей площадью 392,3м².</w:t>
      </w:r>
    </w:p>
    <w:p w:rsidR="00B13BF0" w:rsidRPr="00B13BF0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перспективами развития рынка выполнения работ по содержанию и текущему ремонту общего имущества собственников помещений в многоквартирном доме Ленинградской области являются: повышение доли частного бизнеса в сфере ЖКХ; повышение прозрачности коммунального комплекса и улучшение качества оказываемых населению услуг; усиление общественного контроля за содержанием и ремонтом МКД, введение системы электронного голосования собственников помещений МКД;</w:t>
      </w:r>
      <w:proofErr w:type="gramEnd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числа жалоб жителей по вопросам содержания и эксплуатации МКД; разработка системы оценки и классификации экономической привлекательности жилого фонда; сокращение доли организаций государственной и муниципальной форм собственности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Default="00735347" w:rsidP="008C778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5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 по муниципальным маршрутам регулярных перевозок</w:t>
      </w:r>
    </w:p>
    <w:p w:rsidR="00EC2E15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5347" w:rsidRPr="00735347" w:rsidRDefault="00735347" w:rsidP="00334879">
      <w:pPr>
        <w:pStyle w:val="ab"/>
        <w:ind w:firstLine="708"/>
        <w:rPr>
          <w:sz w:val="28"/>
          <w:szCs w:val="28"/>
        </w:rPr>
      </w:pPr>
      <w:r w:rsidRPr="00735347">
        <w:rPr>
          <w:sz w:val="28"/>
          <w:szCs w:val="28"/>
        </w:rPr>
        <w:t>Осуществление пассажирских перевозок на городских автобусных маршрутах Сланцевского городского поселения в 20</w:t>
      </w:r>
      <w:r w:rsidR="007E5FF9">
        <w:rPr>
          <w:sz w:val="28"/>
          <w:szCs w:val="28"/>
        </w:rPr>
        <w:t>20</w:t>
      </w:r>
      <w:r w:rsidRPr="00735347">
        <w:rPr>
          <w:sz w:val="28"/>
          <w:szCs w:val="28"/>
        </w:rPr>
        <w:t xml:space="preserve"> году осуществлялось 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</w:t>
      </w:r>
      <w:r>
        <w:rPr>
          <w:sz w:val="28"/>
          <w:szCs w:val="28"/>
        </w:rPr>
        <w:t xml:space="preserve">, </w:t>
      </w:r>
      <w:r w:rsidRPr="00735347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735347" w:rsidRPr="004B2E5B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4B2E5B">
        <w:rPr>
          <w:rFonts w:ascii="Times New Roman" w:hAnsi="Times New Roman" w:cs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735347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4B2E5B">
        <w:rPr>
          <w:rFonts w:ascii="Times New Roman" w:hAnsi="Times New Roman" w:cs="Times New Roman"/>
          <w:sz w:val="28"/>
          <w:szCs w:val="28"/>
        </w:rPr>
        <w:t xml:space="preserve">Объём пассажиропотока за </w:t>
      </w:r>
      <w:r w:rsidR="00334879" w:rsidRPr="004B2E5B">
        <w:rPr>
          <w:rFonts w:ascii="Times New Roman" w:hAnsi="Times New Roman" w:cs="Times New Roman"/>
          <w:sz w:val="28"/>
          <w:szCs w:val="28"/>
        </w:rPr>
        <w:t>2020</w:t>
      </w:r>
      <w:r w:rsidRPr="004B2E5B">
        <w:rPr>
          <w:rFonts w:ascii="Times New Roman" w:hAnsi="Times New Roman" w:cs="Times New Roman"/>
          <w:sz w:val="28"/>
          <w:szCs w:val="28"/>
        </w:rPr>
        <w:t xml:space="preserve"> год по данным автобусным маршрутам составил около </w:t>
      </w:r>
      <w:r w:rsidR="004B2E5B" w:rsidRPr="004B2E5B">
        <w:rPr>
          <w:rFonts w:ascii="Times New Roman" w:hAnsi="Times New Roman" w:cs="Times New Roman"/>
          <w:sz w:val="28"/>
          <w:szCs w:val="28"/>
        </w:rPr>
        <w:t xml:space="preserve">1576,7 </w:t>
      </w:r>
      <w:r w:rsidRPr="004B2E5B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657218" w:rsidRPr="00657218" w:rsidRDefault="00657218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218">
        <w:rPr>
          <w:rFonts w:ascii="Times New Roman" w:eastAsia="Times New Roman" w:hAnsi="Times New Roman" w:cs="Times New Roman"/>
          <w:sz w:val="28"/>
          <w:szCs w:val="28"/>
        </w:rPr>
        <w:t xml:space="preserve">Развитие конкуренции на рынке оказания услуг по перевозке пассажиров автомобильным транспортом по муниципальным маршрутам регулярных перевозок: совершенствование конкурентных процедур в сфере пассажирских перевозок; обеспечение прозрачности условий конкурсного отбора на организацию транспортного обслуживания населения на </w:t>
      </w:r>
      <w:r w:rsidRPr="00657218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маршрутах общего пользования региона; установление единых стандартов для транспортных средств; 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347" w:rsidRDefault="00735347" w:rsidP="00735347">
      <w:pPr>
        <w:spacing w:after="0" w:line="240" w:lineRule="auto"/>
        <w:jc w:val="center"/>
        <w:rPr>
          <w:b/>
        </w:rPr>
      </w:pPr>
    </w:p>
    <w:p w:rsidR="00EC2E15" w:rsidRPr="00EC2E15" w:rsidRDefault="00EC2E15" w:rsidP="00735347">
      <w:pPr>
        <w:spacing w:after="0" w:line="240" w:lineRule="auto"/>
        <w:jc w:val="center"/>
        <w:rPr>
          <w:b/>
        </w:rPr>
      </w:pPr>
      <w:r w:rsidRPr="00EC2E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</w:p>
    <w:p w:rsidR="00EC2E15" w:rsidRDefault="00EC2E15" w:rsidP="00735347">
      <w:pPr>
        <w:spacing w:after="0" w:line="240" w:lineRule="auto"/>
        <w:jc w:val="center"/>
        <w:rPr>
          <w:b/>
        </w:rPr>
      </w:pPr>
    </w:p>
    <w:p w:rsidR="001E2B23" w:rsidRPr="00394BBC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1E2B23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394BBC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- коммунальные</w:t>
      </w:r>
      <w:proofErr w:type="gram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ния оказывает филиал АО «Нева Энергия» </w:t>
      </w:r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в г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. Сланцы.</w:t>
      </w:r>
    </w:p>
    <w:p w:rsidR="001E2B23" w:rsidRPr="001E2B23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1E2B23">
        <w:rPr>
          <w:rFonts w:cs="Times New Roman"/>
          <w:sz w:val="28"/>
          <w:szCs w:val="28"/>
        </w:rPr>
        <w:t xml:space="preserve">На территории </w:t>
      </w:r>
      <w:r w:rsidRPr="001E2B23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- ООО «Коммун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 xml:space="preserve">- 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>ООО «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394BBC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>-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  филиал АО «Газпром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тепло</w:t>
      </w:r>
      <w:r w:rsidR="007E5FF9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="007E5FF9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области.</w:t>
      </w:r>
    </w:p>
    <w:p w:rsidR="00F30818" w:rsidRPr="00394BBC" w:rsidRDefault="00F30818" w:rsidP="001E2B23">
      <w:pPr>
        <w:pStyle w:val="af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7245C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2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Сфера наружной рекламы</w:t>
      </w:r>
    </w:p>
    <w:p w:rsidR="00657218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2139" w:rsidRPr="00DC602B" w:rsidRDefault="00AC0D47" w:rsidP="00DC602B">
      <w:pPr>
        <w:pStyle w:val="ab"/>
        <w:ind w:firstLine="708"/>
        <w:rPr>
          <w:sz w:val="28"/>
          <w:szCs w:val="28"/>
        </w:rPr>
      </w:pPr>
      <w:r w:rsidRPr="00DC602B">
        <w:rPr>
          <w:rFonts w:eastAsia="Calibri"/>
          <w:sz w:val="28"/>
          <w:szCs w:val="28"/>
          <w:lang w:eastAsia="ru-RU"/>
        </w:rPr>
        <w:t xml:space="preserve">В </w:t>
      </w:r>
      <w:proofErr w:type="spellStart"/>
      <w:r w:rsidR="00862139" w:rsidRPr="00DC602B">
        <w:rPr>
          <w:rFonts w:eastAsia="Calibri"/>
          <w:sz w:val="28"/>
          <w:szCs w:val="28"/>
          <w:lang w:eastAsia="ru-RU"/>
        </w:rPr>
        <w:t>Сланцевском</w:t>
      </w:r>
      <w:proofErr w:type="spellEnd"/>
      <w:r w:rsidR="00862139" w:rsidRPr="00DC602B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DC602B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DC602B">
        <w:rPr>
          <w:rFonts w:eastAsia="Calibri"/>
          <w:sz w:val="28"/>
          <w:szCs w:val="28"/>
          <w:lang w:eastAsia="ru-RU"/>
        </w:rPr>
        <w:t xml:space="preserve">4 </w:t>
      </w:r>
      <w:r w:rsidRPr="00DC602B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DC602B">
        <w:rPr>
          <w:rFonts w:eastAsia="Calibri"/>
          <w:sz w:val="28"/>
          <w:szCs w:val="28"/>
          <w:lang w:eastAsia="ru-RU"/>
        </w:rPr>
        <w:t>е</w:t>
      </w:r>
      <w:r w:rsidRPr="00DC602B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DC602B">
        <w:rPr>
          <w:rFonts w:eastAsia="Calibri"/>
          <w:sz w:val="28"/>
          <w:szCs w:val="28"/>
          <w:lang w:eastAsia="ru-RU"/>
        </w:rPr>
        <w:t>,</w:t>
      </w:r>
      <w:r w:rsidRPr="00DC602B">
        <w:rPr>
          <w:rFonts w:eastAsia="Calibri"/>
          <w:sz w:val="28"/>
          <w:szCs w:val="28"/>
          <w:lang w:eastAsia="ru-RU"/>
        </w:rPr>
        <w:t xml:space="preserve"> </w:t>
      </w:r>
      <w:r w:rsidR="00862139" w:rsidRPr="00DC602B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строительства в 2020 году было выдано 10 разрешений на строительство и 1 разрешение на ввод объекта в эксплуатацию: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- строительство производственно-лабораторной базы и разрешение на ввод объекта в эксплуатацию (ООО "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Росэнергоснаб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");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- 8 разрешений для строительства объектов церковного назначения в дер.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Пенино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Старопольского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(ПМРО "Приход Храма Святых Первопрестольных Апостолов Петра и Павла на Пискаревском проспекте");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строительство склада в дер. Казино,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Выскатское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(ООО «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Крафт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7E5FF9" w:rsidRPr="007E5FF9" w:rsidRDefault="007E5FF9" w:rsidP="007E5FF9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проектирования строительства объектов на территории Сланцевского муниципального района были разработаны и зарегистрированы в комитете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Госстройнадзора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градостроительных планов.</w:t>
      </w:r>
    </w:p>
    <w:p w:rsidR="005054EB" w:rsidRDefault="005054EB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721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72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ремонту автотранспортных средств</w:t>
      </w:r>
    </w:p>
    <w:p w:rsidR="00AC0D47" w:rsidRPr="0067245C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4A7B" w:rsidRPr="00735347" w:rsidRDefault="008C7785" w:rsidP="002B4A7B">
      <w:pPr>
        <w:pStyle w:val="ab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2B4A7B">
        <w:rPr>
          <w:rFonts w:eastAsia="Calibri"/>
          <w:sz w:val="28"/>
          <w:szCs w:val="28"/>
          <w:lang w:eastAsia="ru-RU"/>
        </w:rPr>
        <w:t>25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</w:t>
      </w:r>
      <w:r w:rsidR="002B4A7B">
        <w:rPr>
          <w:rFonts w:eastAsia="Calibri"/>
          <w:sz w:val="28"/>
          <w:szCs w:val="28"/>
          <w:lang w:eastAsia="ru-RU"/>
        </w:rPr>
        <w:t>организаций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, осуществляющих деятельность в сфере оказания услуг по ремонту автотранспортных средств, </w:t>
      </w:r>
      <w:r w:rsidR="002B4A7B">
        <w:rPr>
          <w:sz w:val="28"/>
          <w:szCs w:val="28"/>
        </w:rPr>
        <w:t>в</w:t>
      </w:r>
      <w:r w:rsidR="002B4A7B" w:rsidRPr="00735347">
        <w:rPr>
          <w:sz w:val="28"/>
          <w:szCs w:val="28"/>
        </w:rPr>
        <w:t xml:space="preserve">се относятся к субъектам малого предпринимательства. </w:t>
      </w:r>
    </w:p>
    <w:p w:rsidR="0067245C" w:rsidRDefault="0067245C" w:rsidP="00735347">
      <w:pPr>
        <w:spacing w:after="0" w:line="240" w:lineRule="auto"/>
        <w:jc w:val="center"/>
        <w:rPr>
          <w:b/>
        </w:rPr>
      </w:pP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развитию конкуренции и развитию конкурентной среды в муниципальном образовании</w:t>
      </w:r>
    </w:p>
    <w:p w:rsidR="00661BAE" w:rsidRDefault="00661BAE"/>
    <w:p w:rsidR="00B230F7" w:rsidRPr="00910767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приоритетных рынков товаров и услуг и План мероприятий («дорожная карта») по содействию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конкуренции на территории Сланцевского муниципального района Ленинградской области в 2019 - 2022 годах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4727">
        <w:rPr>
          <w:rFonts w:ascii="Times New Roman" w:hAnsi="Times New Roman" w:cs="Times New Roman"/>
          <w:bCs/>
          <w:sz w:val="28"/>
          <w:szCs w:val="28"/>
        </w:rPr>
        <w:t>утвержде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Сланцевского муниципального района от 28 октября 2019 №1679-п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4727" w:rsidRPr="0012575A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12575A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</w:t>
      </w:r>
      <w:r w:rsidRPr="0012575A">
        <w:rPr>
          <w:sz w:val="28"/>
          <w:szCs w:val="28"/>
        </w:rPr>
        <w:t xml:space="preserve"> статистических данных, свидетельствующих об уровне и динамике развития реального сектора экономики и развития конкурентной среды на рынках товаров, работ и услуг в муниципальном образовании </w:t>
      </w:r>
      <w:proofErr w:type="spellStart"/>
      <w:r w:rsidR="00B230F7">
        <w:rPr>
          <w:sz w:val="28"/>
          <w:szCs w:val="28"/>
        </w:rPr>
        <w:t>Сланцевский</w:t>
      </w:r>
      <w:proofErr w:type="spellEnd"/>
      <w:r w:rsidRPr="0012575A">
        <w:rPr>
          <w:sz w:val="28"/>
          <w:szCs w:val="28"/>
        </w:rPr>
        <w:t xml:space="preserve"> район, в целях повышения качества услуг, предоставляемых населению, </w:t>
      </w:r>
      <w:r w:rsidRPr="0012575A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910767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54727">
        <w:rPr>
          <w:rFonts w:ascii="Times New Roman" w:hAnsi="Times New Roman"/>
          <w:color w:val="000000"/>
          <w:sz w:val="28"/>
          <w:szCs w:val="28"/>
        </w:rPr>
        <w:t xml:space="preserve">Планом предусмотрены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приоритетных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социально значимых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истемные мероприятия по развитию конкурентной среды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2019-2021 годы.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6C52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692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>
        <w:rPr>
          <w:rFonts w:ascii="Times New Roman" w:hAnsi="Times New Roman"/>
          <w:b/>
          <w:bCs/>
          <w:sz w:val="28"/>
          <w:szCs w:val="28"/>
        </w:rPr>
        <w:t>4</w:t>
      </w:r>
      <w:r w:rsidRPr="0079692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6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EF2D20" w:rsidRPr="0079692F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6E96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>
        <w:rPr>
          <w:sz w:val="28"/>
          <w:szCs w:val="28"/>
        </w:rPr>
        <w:t xml:space="preserve">в сети Интернет </w:t>
      </w:r>
      <w:r w:rsidR="00E95AEF" w:rsidRPr="00DF5A53">
        <w:rPr>
          <w:sz w:val="28"/>
          <w:szCs w:val="28"/>
        </w:rPr>
        <w:t xml:space="preserve">муниципального образования </w:t>
      </w:r>
      <w:proofErr w:type="spellStart"/>
      <w:r w:rsidR="00686E96">
        <w:rPr>
          <w:sz w:val="28"/>
          <w:szCs w:val="28"/>
        </w:rPr>
        <w:t>Сланцевский</w:t>
      </w:r>
      <w:proofErr w:type="spellEnd"/>
      <w:r w:rsidR="00686E96">
        <w:rPr>
          <w:sz w:val="28"/>
          <w:szCs w:val="28"/>
        </w:rPr>
        <w:t xml:space="preserve"> муниципальный район</w:t>
      </w:r>
      <w:r w:rsidR="00E95AEF">
        <w:rPr>
          <w:sz w:val="28"/>
          <w:szCs w:val="28"/>
        </w:rPr>
        <w:t xml:space="preserve"> </w:t>
      </w:r>
      <w:r w:rsidR="00E95AEF"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="00E95AEF"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 разработаны вкладки</w:t>
      </w:r>
      <w:r w:rsidR="00686E96">
        <w:rPr>
          <w:rFonts w:ascii="Arial" w:hAnsi="Arial" w:cs="Arial"/>
          <w:color w:val="808080"/>
          <w:sz w:val="13"/>
          <w:szCs w:val="13"/>
          <w:shd w:val="clear" w:color="auto" w:fill="FFFFFF"/>
        </w:rPr>
        <w:t> </w:t>
      </w:r>
      <w:r w:rsidR="00686E96" w:rsidRPr="00686E96">
        <w:rPr>
          <w:sz w:val="28"/>
          <w:szCs w:val="28"/>
        </w:rPr>
        <w:t>«</w:t>
      </w:r>
      <w:hyperlink r:id="rId8" w:history="1">
        <w:r w:rsidR="00686E96" w:rsidRPr="00686E96">
          <w:rPr>
            <w:sz w:val="28"/>
            <w:szCs w:val="28"/>
          </w:rPr>
          <w:t>Экономика</w:t>
        </w:r>
      </w:hyperlink>
      <w:r w:rsidR="00686E96" w:rsidRPr="00686E96">
        <w:rPr>
          <w:sz w:val="28"/>
          <w:szCs w:val="28"/>
        </w:rPr>
        <w:t>»</w:t>
      </w:r>
      <w:r w:rsidR="00686E96">
        <w:rPr>
          <w:sz w:val="28"/>
          <w:szCs w:val="28"/>
        </w:rPr>
        <w:t xml:space="preserve"> </w:t>
      </w:r>
      <w:hyperlink r:id="rId9" w:history="1">
        <w:r w:rsidR="00686E96" w:rsidRPr="009E030C">
          <w:rPr>
            <w:rStyle w:val="a7"/>
            <w:sz w:val="28"/>
            <w:szCs w:val="28"/>
          </w:rPr>
          <w:t>http://slanmo.ru/ekonomika.html</w:t>
        </w:r>
      </w:hyperlink>
      <w:r w:rsidR="00686E96">
        <w:rPr>
          <w:sz w:val="28"/>
          <w:szCs w:val="28"/>
        </w:rPr>
        <w:t xml:space="preserve"> </w:t>
      </w:r>
    </w:p>
    <w:p w:rsidR="00686E96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86E96">
        <w:rPr>
          <w:sz w:val="28"/>
          <w:szCs w:val="28"/>
        </w:rPr>
        <w:t>Развитие конкуренции</w:t>
      </w:r>
      <w:r>
        <w:rPr>
          <w:sz w:val="28"/>
          <w:szCs w:val="28"/>
        </w:rPr>
        <w:t xml:space="preserve">» </w:t>
      </w:r>
      <w:r w:rsidR="00E95A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размещены нормативно-правовые акты Правительства РФ, Правительства Ленинградской области, администрации </w:t>
      </w:r>
      <w:r w:rsidR="007C7760">
        <w:rPr>
          <w:bCs/>
          <w:sz w:val="28"/>
          <w:szCs w:val="28"/>
        </w:rPr>
        <w:t>МО Сланцевского муниципального района ЛО</w:t>
      </w:r>
      <w:r>
        <w:rPr>
          <w:bCs/>
          <w:sz w:val="28"/>
          <w:szCs w:val="28"/>
        </w:rPr>
        <w:t xml:space="preserve">, </w:t>
      </w:r>
      <w:r w:rsidRPr="00571244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развитии конкуренции, анкеты для проведения опроса;</w:t>
      </w:r>
    </w:p>
    <w:p w:rsidR="00E95AEF" w:rsidRPr="00DF3989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6E96">
        <w:rPr>
          <w:sz w:val="28"/>
          <w:szCs w:val="28"/>
        </w:rPr>
        <w:t>Инвесторам</w:t>
      </w:r>
      <w:r>
        <w:rPr>
          <w:sz w:val="28"/>
          <w:szCs w:val="28"/>
        </w:rPr>
        <w:t xml:space="preserve">» - размещен инвестиционный паспорт муниципального образования, информация об инвестиционных площадках, ссылки на инвестиционный портал Ленинградской области и интегрированную региональную </w:t>
      </w:r>
      <w:r w:rsidRPr="00DF3989">
        <w:rPr>
          <w:sz w:val="28"/>
          <w:szCs w:val="28"/>
        </w:rPr>
        <w:t>информационную систему ИРИС</w:t>
      </w:r>
      <w:r w:rsidR="00686E96">
        <w:rPr>
          <w:sz w:val="28"/>
          <w:szCs w:val="28"/>
        </w:rPr>
        <w:t>;</w:t>
      </w:r>
    </w:p>
    <w:p w:rsidR="00DF3989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71244">
        <w:rPr>
          <w:bCs/>
          <w:sz w:val="28"/>
          <w:szCs w:val="28"/>
        </w:rPr>
        <w:lastRenderedPageBreak/>
        <w:t xml:space="preserve">«Оценка регулирующего воздействия» - </w:t>
      </w:r>
      <w:r w:rsidR="00571244" w:rsidRPr="00571244">
        <w:rPr>
          <w:sz w:val="28"/>
          <w:szCs w:val="28"/>
        </w:rPr>
        <w:t>размещена информация                         о</w:t>
      </w:r>
      <w:r w:rsidR="00571244">
        <w:rPr>
          <w:sz w:val="28"/>
          <w:szCs w:val="28"/>
        </w:rPr>
        <w:t xml:space="preserve"> возможности</w:t>
      </w:r>
      <w:r w:rsidR="001B29EA">
        <w:rPr>
          <w:sz w:val="28"/>
          <w:szCs w:val="28"/>
        </w:rPr>
        <w:t xml:space="preserve"> </w:t>
      </w:r>
      <w:r w:rsidR="00571244">
        <w:rPr>
          <w:bCs/>
          <w:sz w:val="28"/>
          <w:szCs w:val="28"/>
        </w:rPr>
        <w:t>участия представителей предпринимательства в обсуждении</w:t>
      </w:r>
      <w:r w:rsidR="00571244" w:rsidRPr="00571244">
        <w:rPr>
          <w:bCs/>
          <w:sz w:val="28"/>
          <w:szCs w:val="28"/>
        </w:rPr>
        <w:t xml:space="preserve"> нормативных правовых актов </w:t>
      </w:r>
      <w:r w:rsidR="00571244">
        <w:rPr>
          <w:bCs/>
          <w:sz w:val="28"/>
          <w:szCs w:val="28"/>
        </w:rPr>
        <w:t>администрации МО</w:t>
      </w:r>
      <w:r w:rsidR="00571244" w:rsidRPr="00571244">
        <w:rPr>
          <w:bCs/>
          <w:sz w:val="28"/>
          <w:szCs w:val="28"/>
        </w:rPr>
        <w:t xml:space="preserve"> </w:t>
      </w:r>
      <w:proofErr w:type="spellStart"/>
      <w:r w:rsidR="001B29EA">
        <w:rPr>
          <w:bCs/>
          <w:sz w:val="28"/>
          <w:szCs w:val="28"/>
        </w:rPr>
        <w:t>Сланцевский</w:t>
      </w:r>
      <w:proofErr w:type="spellEnd"/>
      <w:r w:rsidR="001B29EA">
        <w:rPr>
          <w:bCs/>
          <w:sz w:val="28"/>
          <w:szCs w:val="28"/>
        </w:rPr>
        <w:t xml:space="preserve"> муниципальный район Ленинградской области,</w:t>
      </w:r>
      <w:r w:rsidR="00571244">
        <w:rPr>
          <w:bCs/>
          <w:sz w:val="28"/>
          <w:szCs w:val="28"/>
        </w:rPr>
        <w:t xml:space="preserve"> а также нормативно-правовые акты администрации по о</w:t>
      </w:r>
      <w:r w:rsidR="00571244" w:rsidRPr="00571244">
        <w:rPr>
          <w:bCs/>
          <w:sz w:val="28"/>
          <w:szCs w:val="28"/>
        </w:rPr>
        <w:t>ценк</w:t>
      </w:r>
      <w:r w:rsidR="00571244">
        <w:rPr>
          <w:bCs/>
          <w:sz w:val="28"/>
          <w:szCs w:val="28"/>
        </w:rPr>
        <w:t>е</w:t>
      </w:r>
      <w:r w:rsidR="00571244" w:rsidRPr="00571244">
        <w:rPr>
          <w:bCs/>
          <w:sz w:val="28"/>
          <w:szCs w:val="28"/>
        </w:rPr>
        <w:t xml:space="preserve"> регулирующего воздействия</w:t>
      </w:r>
      <w:r w:rsidR="00571244">
        <w:rPr>
          <w:bCs/>
          <w:sz w:val="28"/>
          <w:szCs w:val="28"/>
        </w:rPr>
        <w:t>;</w:t>
      </w:r>
    </w:p>
    <w:p w:rsidR="00571244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244">
        <w:rPr>
          <w:sz w:val="28"/>
          <w:szCs w:val="28"/>
        </w:rPr>
        <w:t>«</w:t>
      </w:r>
      <w:r w:rsidR="001B2E8B">
        <w:rPr>
          <w:sz w:val="28"/>
          <w:szCs w:val="28"/>
        </w:rPr>
        <w:t>Сельское хозяйство</w:t>
      </w:r>
      <w:r w:rsidR="00571244">
        <w:rPr>
          <w:sz w:val="28"/>
          <w:szCs w:val="28"/>
        </w:rPr>
        <w:t>» - размещена информация о развитии сельского хозяйства;</w:t>
      </w:r>
    </w:p>
    <w:p w:rsidR="00134AAB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E8B">
        <w:rPr>
          <w:sz w:val="28"/>
          <w:szCs w:val="28"/>
        </w:rPr>
        <w:t>Малому бизнесу</w:t>
      </w:r>
      <w:r>
        <w:rPr>
          <w:sz w:val="28"/>
          <w:szCs w:val="28"/>
        </w:rPr>
        <w:t>»</w:t>
      </w:r>
      <w:r w:rsidR="00134AAB">
        <w:rPr>
          <w:sz w:val="28"/>
          <w:szCs w:val="28"/>
        </w:rPr>
        <w:t xml:space="preserve"> - размещены нормативно-правовые документы, информация о формах поддержки, информация о проводимых конкурсах,  </w:t>
      </w:r>
      <w:r w:rsidR="004E25E6">
        <w:rPr>
          <w:sz w:val="28"/>
          <w:szCs w:val="28"/>
        </w:rPr>
        <w:t>информация по и</w:t>
      </w:r>
      <w:r w:rsidR="00134AAB">
        <w:rPr>
          <w:sz w:val="28"/>
          <w:szCs w:val="28"/>
        </w:rPr>
        <w:t>мущественн</w:t>
      </w:r>
      <w:r w:rsidR="004E25E6">
        <w:rPr>
          <w:sz w:val="28"/>
          <w:szCs w:val="28"/>
        </w:rPr>
        <w:t>ой</w:t>
      </w:r>
      <w:r w:rsidR="00134AAB">
        <w:rPr>
          <w:sz w:val="28"/>
          <w:szCs w:val="28"/>
        </w:rPr>
        <w:t xml:space="preserve"> поддержк</w:t>
      </w:r>
      <w:r w:rsidR="004E25E6">
        <w:rPr>
          <w:sz w:val="28"/>
          <w:szCs w:val="28"/>
        </w:rPr>
        <w:t>е</w:t>
      </w:r>
      <w:r w:rsidR="00134AAB">
        <w:rPr>
          <w:sz w:val="28"/>
          <w:szCs w:val="28"/>
        </w:rPr>
        <w:t xml:space="preserve"> субъектов МСП»</w:t>
      </w:r>
      <w:r w:rsidR="004E25E6">
        <w:rPr>
          <w:sz w:val="28"/>
          <w:szCs w:val="28"/>
        </w:rPr>
        <w:t>.</w:t>
      </w:r>
    </w:p>
    <w:p w:rsidR="00334879" w:rsidRDefault="00334879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C52" w:rsidRPr="00D31701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D31701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малого и среднего предпринимательства</w:t>
      </w:r>
    </w:p>
    <w:p w:rsidR="009B6C52" w:rsidRDefault="009B6C52"/>
    <w:p w:rsidR="00C74C2C" w:rsidRPr="00C74C2C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администрацией в </w:t>
      </w:r>
      <w:r w:rsidR="00BD0DF9">
        <w:rPr>
          <w:rStyle w:val="a4"/>
          <w:rFonts w:ascii="Times New Roman" w:hAnsi="Times New Roman" w:cs="Times New Roman"/>
          <w:sz w:val="28"/>
          <w:szCs w:val="28"/>
        </w:rPr>
        <w:t>январе-</w:t>
      </w:r>
      <w:r w:rsidR="00334879">
        <w:rPr>
          <w:rStyle w:val="a4"/>
          <w:rFonts w:ascii="Times New Roman" w:hAnsi="Times New Roman" w:cs="Times New Roman"/>
          <w:sz w:val="28"/>
          <w:szCs w:val="28"/>
        </w:rPr>
        <w:t>феврале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C57B1"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года проведен опрос субъектов предпринимательской деятельности (далее - респондентов) по разработанным </w:t>
      </w:r>
      <w:r w:rsidRPr="00C74C2C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Аналитическим центром при Правительстве РФ 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Целью исследования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4C2C">
        <w:rPr>
          <w:rFonts w:ascii="Times New Roman" w:hAnsi="Times New Roman" w:cs="Times New Roman"/>
          <w:sz w:val="28"/>
          <w:szCs w:val="28"/>
        </w:rPr>
        <w:t xml:space="preserve">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BD0DF9">
        <w:rPr>
          <w:rFonts w:ascii="Times New Roman" w:hAnsi="Times New Roman" w:cs="Times New Roman"/>
          <w:sz w:val="28"/>
          <w:szCs w:val="28"/>
        </w:rPr>
        <w:t>20</w:t>
      </w:r>
      <w:r w:rsidRPr="00C74C2C">
        <w:rPr>
          <w:rFonts w:ascii="Times New Roman" w:hAnsi="Times New Roman" w:cs="Times New Roman"/>
          <w:sz w:val="28"/>
          <w:szCs w:val="28"/>
        </w:rPr>
        <w:t xml:space="preserve"> заполненных респондент</w:t>
      </w:r>
      <w:r w:rsidR="005054EB">
        <w:rPr>
          <w:rFonts w:ascii="Times New Roman" w:hAnsi="Times New Roman" w:cs="Times New Roman"/>
          <w:sz w:val="28"/>
          <w:szCs w:val="28"/>
        </w:rPr>
        <w:t>ами анкет</w:t>
      </w:r>
      <w:r w:rsidRPr="00C74C2C">
        <w:rPr>
          <w:rFonts w:ascii="Times New Roman" w:hAnsi="Times New Roman" w:cs="Times New Roman"/>
          <w:sz w:val="28"/>
          <w:szCs w:val="28"/>
        </w:rPr>
        <w:t xml:space="preserve">, 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="005054EB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C74C2C" w:rsidRPr="00C74C2C" w:rsidRDefault="00C74C2C" w:rsidP="00C74C2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</w:t>
      </w:r>
      <w:r w:rsidR="00BD0DF9">
        <w:rPr>
          <w:rFonts w:ascii="Times New Roman" w:hAnsi="Times New Roman" w:cs="Times New Roman"/>
          <w:sz w:val="28"/>
          <w:szCs w:val="28"/>
        </w:rPr>
        <w:t>п</w:t>
      </w:r>
      <w:r w:rsidR="00BD0DF9" w:rsidRPr="00BD0DF9">
        <w:rPr>
          <w:rFonts w:ascii="Times New Roman" w:hAnsi="Times New Roman" w:cs="Times New Roman"/>
          <w:sz w:val="28"/>
          <w:szCs w:val="28"/>
        </w:rPr>
        <w:t>роизводство пищевых продуктов, включая напитки, и табака</w:t>
      </w:r>
      <w:r w:rsidR="00BD0DF9" w:rsidRPr="003506B3">
        <w:rPr>
          <w:rFonts w:ascii="Times New Roman" w:hAnsi="Times New Roman" w:cs="Times New Roman"/>
          <w:sz w:val="28"/>
          <w:szCs w:val="28"/>
        </w:rPr>
        <w:t xml:space="preserve"> </w:t>
      </w:r>
      <w:r w:rsidRPr="003506B3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BD0DF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DF9">
        <w:rPr>
          <w:rFonts w:ascii="Times New Roman" w:hAnsi="Times New Roman" w:cs="Times New Roman"/>
          <w:sz w:val="28"/>
          <w:szCs w:val="28"/>
        </w:rPr>
        <w:t>текстильное и швейное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BD0DF9" w:rsidP="00BD0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гостиницы и рестораны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5054EB" w:rsidRPr="003506B3">
        <w:rPr>
          <w:rFonts w:ascii="Times New Roman" w:hAnsi="Times New Roman" w:cs="Times New Roman"/>
          <w:sz w:val="28"/>
          <w:szCs w:val="28"/>
        </w:rPr>
        <w:t>1</w:t>
      </w:r>
      <w:r w:rsidR="003D2251"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8102D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D3">
        <w:rPr>
          <w:rFonts w:ascii="Times New Roman" w:hAnsi="Times New Roman" w:cs="Times New Roman"/>
          <w:sz w:val="28"/>
          <w:szCs w:val="28"/>
        </w:rPr>
        <w:t>-</w:t>
      </w:r>
      <w:r w:rsidR="00BD0DF9">
        <w:t xml:space="preserve"> </w:t>
      </w:r>
      <w:r w:rsidR="00BD0DF9" w:rsidRPr="00BD0DF9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BD0DF9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3506B3" w:rsidRPr="00C74C2C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BD0DF9">
        <w:rPr>
          <w:rFonts w:ascii="Times New Roman" w:hAnsi="Times New Roman" w:cs="Times New Roman"/>
          <w:sz w:val="28"/>
          <w:szCs w:val="28"/>
        </w:rPr>
        <w:t>4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BD0DF9">
        <w:rPr>
          <w:rFonts w:ascii="Times New Roman" w:hAnsi="Times New Roman" w:cs="Times New Roman"/>
          <w:sz w:val="28"/>
          <w:szCs w:val="28"/>
        </w:rPr>
        <w:t>13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BD0DF9"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 15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17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 до 100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3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100 до 250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оборота: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BD0DF9">
        <w:rPr>
          <w:rFonts w:ascii="Times New Roman" w:hAnsi="Times New Roman" w:cs="Times New Roman"/>
          <w:sz w:val="28"/>
          <w:szCs w:val="28"/>
        </w:rPr>
        <w:t>20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BD0DF9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от 800 до 2000 (средние предприятия)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4</w:t>
      </w:r>
      <w:r w:rsidR="00AF3011">
        <w:rPr>
          <w:rFonts w:ascii="Times New Roman" w:hAnsi="Times New Roman" w:cs="Times New Roman"/>
          <w:sz w:val="28"/>
          <w:szCs w:val="28"/>
        </w:rPr>
        <w:t>. Д</w:t>
      </w:r>
      <w:r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AF3011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DF9">
        <w:rPr>
          <w:rFonts w:ascii="Times New Roman" w:hAnsi="Times New Roman" w:cs="Times New Roman"/>
          <w:sz w:val="28"/>
          <w:szCs w:val="28"/>
        </w:rPr>
        <w:t xml:space="preserve"> 4 и более конкурентов – 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DF9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768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6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изменению числа конкурентов бизнеса: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BD0DF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235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 w:rsidR="00BD0DF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сократилось более чем на 4 конкурента – </w:t>
      </w:r>
      <w:r w:rsidR="00BD0D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 w:rsidR="00BD0D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BD0DF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768" w:rsidRPr="00C74C2C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F04A00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44170B" w:rsidRPr="00C74C2C" w:rsidRDefault="0044170B" w:rsidP="00441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495962">
        <w:rPr>
          <w:rFonts w:ascii="Times New Roman" w:hAnsi="Times New Roman" w:cs="Times New Roman"/>
          <w:sz w:val="28"/>
          <w:szCs w:val="28"/>
        </w:rPr>
        <w:t>65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44170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скорее удовлетворительное – </w:t>
      </w:r>
      <w:r w:rsidR="00495962">
        <w:rPr>
          <w:rFonts w:ascii="Times New Roman" w:hAnsi="Times New Roman" w:cs="Times New Roman"/>
          <w:sz w:val="28"/>
          <w:szCs w:val="28"/>
        </w:rPr>
        <w:t>35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 w:rsidR="0044170B">
        <w:rPr>
          <w:rFonts w:ascii="Times New Roman" w:hAnsi="Times New Roman" w:cs="Times New Roman"/>
          <w:sz w:val="28"/>
          <w:szCs w:val="28"/>
        </w:rPr>
        <w:t>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респондентов по оценке преодолимости административных барьеров для ведения текущей деятельности: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административные барьеры есть, но они преодолимы без существенных затрат -  </w:t>
      </w:r>
      <w:r w:rsidR="00495962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4170B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</w:t>
      </w:r>
      <w:r w:rsidR="0044170B">
        <w:rPr>
          <w:rFonts w:ascii="Times New Roman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170B">
        <w:rPr>
          <w:rFonts w:ascii="Times New Roman" w:hAnsi="Times New Roman" w:cs="Times New Roman"/>
          <w:sz w:val="28"/>
          <w:szCs w:val="28"/>
        </w:rPr>
        <w:t xml:space="preserve"> </w:t>
      </w:r>
      <w:r w:rsidR="00495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F04A00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95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н</w:t>
      </w:r>
      <w:r w:rsidR="00C74C2C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 барьеров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495962">
        <w:rPr>
          <w:rFonts w:ascii="Times New Roman" w:hAnsi="Times New Roman" w:cs="Times New Roman"/>
          <w:sz w:val="28"/>
          <w:szCs w:val="28"/>
        </w:rPr>
        <w:t xml:space="preserve">40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495962">
        <w:rPr>
          <w:rFonts w:ascii="Times New Roman" w:hAnsi="Times New Roman" w:cs="Times New Roman"/>
          <w:sz w:val="28"/>
          <w:szCs w:val="28"/>
        </w:rPr>
        <w:t>35</w:t>
      </w:r>
      <w:r w:rsidR="001D2A2D"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495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495962">
        <w:rPr>
          <w:rFonts w:ascii="Times New Roman" w:hAnsi="Times New Roman" w:cs="Times New Roman"/>
          <w:sz w:val="28"/>
          <w:szCs w:val="28"/>
        </w:rPr>
        <w:t>нет ограничений – 25 %</w:t>
      </w:r>
    </w:p>
    <w:p w:rsidR="001D2A2D" w:rsidRPr="00C74C2C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CF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214FCF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C74C2C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214FCF">
        <w:rPr>
          <w:rFonts w:ascii="Times New Roman" w:hAnsi="Times New Roman" w:cs="Times New Roman"/>
          <w:sz w:val="28"/>
          <w:szCs w:val="28"/>
        </w:rPr>
        <w:t>:</w:t>
      </w:r>
    </w:p>
    <w:p w:rsidR="00214FCF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- 40%;</w:t>
      </w:r>
    </w:p>
    <w:p w:rsidR="00495962" w:rsidRPr="00C74C2C" w:rsidRDefault="00495962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15 %;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495962">
        <w:rPr>
          <w:rFonts w:ascii="Times New Roman" w:hAnsi="Times New Roman" w:cs="Times New Roman"/>
          <w:sz w:val="28"/>
          <w:szCs w:val="28"/>
        </w:rPr>
        <w:t>25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214FCF">
        <w:rPr>
          <w:rFonts w:ascii="Times New Roman" w:hAnsi="Times New Roman" w:cs="Times New Roman"/>
          <w:sz w:val="28"/>
          <w:szCs w:val="28"/>
        </w:rPr>
        <w:t xml:space="preserve">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20</w:t>
      </w:r>
      <w:r w:rsidR="00214FCF">
        <w:rPr>
          <w:rFonts w:ascii="Times New Roman" w:hAnsi="Times New Roman" w:cs="Times New Roman"/>
          <w:sz w:val="28"/>
          <w:szCs w:val="28"/>
        </w:rPr>
        <w:t>%.</w:t>
      </w:r>
    </w:p>
    <w:p w:rsidR="00214FCF" w:rsidRP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49596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495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14FCF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1C614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C74C2C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1C614A">
        <w:rPr>
          <w:rFonts w:ascii="Times New Roman" w:hAnsi="Times New Roman" w:cs="Times New Roman"/>
          <w:sz w:val="28"/>
          <w:szCs w:val="28"/>
        </w:rPr>
        <w:t>й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1C614A" w:rsidRDefault="001C614A" w:rsidP="001C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 w:rsidR="0049596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95962" w:rsidRDefault="00495962" w:rsidP="001C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1C614A"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 w:rsidR="00495962"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1C614A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="00C74C2C"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 затруднились ответить.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50" w:rsidRDefault="00D53450" w:rsidP="00225DB5"/>
    <w:p w:rsidR="00880B64" w:rsidRDefault="00880B64" w:rsidP="00225DB5"/>
    <w:sectPr w:rsidR="00880B64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11"/>
  </w:num>
  <w:num w:numId="10">
    <w:abstractNumId w:val="18"/>
  </w:num>
  <w:num w:numId="11">
    <w:abstractNumId w:val="20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569F2"/>
    <w:rsid w:val="00084E2B"/>
    <w:rsid w:val="000B7A8F"/>
    <w:rsid w:val="000C3289"/>
    <w:rsid w:val="000D65D8"/>
    <w:rsid w:val="000D6865"/>
    <w:rsid w:val="000E7087"/>
    <w:rsid w:val="000F1BC7"/>
    <w:rsid w:val="00121433"/>
    <w:rsid w:val="00122128"/>
    <w:rsid w:val="0012575A"/>
    <w:rsid w:val="00134AAB"/>
    <w:rsid w:val="00140C5A"/>
    <w:rsid w:val="00142327"/>
    <w:rsid w:val="001715F6"/>
    <w:rsid w:val="00180F32"/>
    <w:rsid w:val="00193990"/>
    <w:rsid w:val="00195E74"/>
    <w:rsid w:val="00197765"/>
    <w:rsid w:val="001A4AAA"/>
    <w:rsid w:val="001B29EA"/>
    <w:rsid w:val="001B2E8B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70D4C"/>
    <w:rsid w:val="00380F93"/>
    <w:rsid w:val="003923F4"/>
    <w:rsid w:val="003A63B9"/>
    <w:rsid w:val="003B2B46"/>
    <w:rsid w:val="003B7720"/>
    <w:rsid w:val="003D2251"/>
    <w:rsid w:val="003F29FE"/>
    <w:rsid w:val="003F3CA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6732"/>
    <w:rsid w:val="004D6A34"/>
    <w:rsid w:val="004E25E6"/>
    <w:rsid w:val="004F38E4"/>
    <w:rsid w:val="00502E88"/>
    <w:rsid w:val="00503D96"/>
    <w:rsid w:val="005054EB"/>
    <w:rsid w:val="005074E5"/>
    <w:rsid w:val="00554727"/>
    <w:rsid w:val="00571244"/>
    <w:rsid w:val="00595BB0"/>
    <w:rsid w:val="005B497B"/>
    <w:rsid w:val="005B6724"/>
    <w:rsid w:val="005C0A0F"/>
    <w:rsid w:val="005C57B1"/>
    <w:rsid w:val="005C5CDF"/>
    <w:rsid w:val="005D27F6"/>
    <w:rsid w:val="005D3FC9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45BA"/>
    <w:rsid w:val="00746659"/>
    <w:rsid w:val="00774A4D"/>
    <w:rsid w:val="007824BF"/>
    <w:rsid w:val="00797CEC"/>
    <w:rsid w:val="007A04B7"/>
    <w:rsid w:val="007B607A"/>
    <w:rsid w:val="007C74A7"/>
    <w:rsid w:val="007C7760"/>
    <w:rsid w:val="007D3C5C"/>
    <w:rsid w:val="007D4569"/>
    <w:rsid w:val="007E50DB"/>
    <w:rsid w:val="007E5FF9"/>
    <w:rsid w:val="00803C65"/>
    <w:rsid w:val="008102D3"/>
    <w:rsid w:val="0082397D"/>
    <w:rsid w:val="008255D5"/>
    <w:rsid w:val="00833D2C"/>
    <w:rsid w:val="00862139"/>
    <w:rsid w:val="00870B9A"/>
    <w:rsid w:val="00880B64"/>
    <w:rsid w:val="00893513"/>
    <w:rsid w:val="008B74BE"/>
    <w:rsid w:val="008C497C"/>
    <w:rsid w:val="008C7785"/>
    <w:rsid w:val="008E1BD5"/>
    <w:rsid w:val="00904CA4"/>
    <w:rsid w:val="00910767"/>
    <w:rsid w:val="00926820"/>
    <w:rsid w:val="009755A6"/>
    <w:rsid w:val="009865F8"/>
    <w:rsid w:val="009A2932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F3011"/>
    <w:rsid w:val="00B06242"/>
    <w:rsid w:val="00B13BF0"/>
    <w:rsid w:val="00B230F7"/>
    <w:rsid w:val="00B36090"/>
    <w:rsid w:val="00B500AE"/>
    <w:rsid w:val="00B56FFD"/>
    <w:rsid w:val="00B7311E"/>
    <w:rsid w:val="00B87F4D"/>
    <w:rsid w:val="00BB464A"/>
    <w:rsid w:val="00BC7F77"/>
    <w:rsid w:val="00BD0DF9"/>
    <w:rsid w:val="00C101BC"/>
    <w:rsid w:val="00C13135"/>
    <w:rsid w:val="00C268AD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53450"/>
    <w:rsid w:val="00D53492"/>
    <w:rsid w:val="00D74820"/>
    <w:rsid w:val="00D90B06"/>
    <w:rsid w:val="00DA11C3"/>
    <w:rsid w:val="00DA34B9"/>
    <w:rsid w:val="00DA63CC"/>
    <w:rsid w:val="00DB0373"/>
    <w:rsid w:val="00DC602B"/>
    <w:rsid w:val="00DF31D7"/>
    <w:rsid w:val="00DF3989"/>
    <w:rsid w:val="00E03A9D"/>
    <w:rsid w:val="00E23EEF"/>
    <w:rsid w:val="00E517A6"/>
    <w:rsid w:val="00E64FB5"/>
    <w:rsid w:val="00E75960"/>
    <w:rsid w:val="00E94A16"/>
    <w:rsid w:val="00E95AEF"/>
    <w:rsid w:val="00E97141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7BD4"/>
    <w:rsid w:val="00F67791"/>
    <w:rsid w:val="00F67D22"/>
    <w:rsid w:val="00FA18BD"/>
    <w:rsid w:val="00FA3A51"/>
    <w:rsid w:val="00FB6FAD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nmo.ru/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600D-42C8-4D64-8EE0-059C017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13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47</cp:revision>
  <dcterms:created xsi:type="dcterms:W3CDTF">2020-09-21T13:25:00Z</dcterms:created>
  <dcterms:modified xsi:type="dcterms:W3CDTF">2021-01-14T08:10:00Z</dcterms:modified>
</cp:coreProperties>
</file>