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748734" behindDoc="0" locked="0" layoutInCell="1" allowOverlap="1">
                <wp:simplePos x="0" y="0"/>
                <wp:positionH relativeFrom="column">
                  <wp:posOffset>-911543</wp:posOffset>
                </wp:positionH>
                <wp:positionV relativeFrom="paragraph">
                  <wp:posOffset>-135160</wp:posOffset>
                </wp:positionV>
                <wp:extent cx="7581900" cy="285750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7581899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0" o:spid="_x0000_s0" o:spt="1" type="#_x0000_t1" style="position:absolute;z-index:501748734;o:allowoverlap:true;o:allowincell:true;mso-position-horizontal-relative:text;margin-left:-71.78pt;mso-position-horizontal:absolute;mso-position-vertical-relative:text;margin-top:-10.64pt;mso-position-vertical:absolute;width:597.00pt;height:22.50pt;mso-wrap-distance-left:9.07pt;mso-wrap-distance-top:0.00pt;mso-wrap-distance-right:9.07pt;mso-wrap-distance-bottom:0.00pt;rotation:0;visibility:visible;" fillcolor="#00B0F0" stroked="f" strokeweight="2.00pt"/>
            </w:pict>
          </mc:Fallback>
        </mc:AlternateContent>
      </w:r>
      <w:r>
        <w:rPr>
          <w:b/>
          <w:bCs/>
          <w:sz w:val="48"/>
          <w:szCs w:val="48"/>
          <w:highlight w:val="none"/>
          <w:lang w:eastAsia="ru-RU"/>
        </w:rPr>
      </w:r>
      <w:r/>
    </w:p>
    <w:p>
      <w:pPr>
        <w:jc w:val="center"/>
        <w:pageBreakBefore w:val="0"/>
        <w:rPr>
          <w:b/>
          <w:bCs/>
          <w:sz w:val="48"/>
          <w:szCs w:val="48"/>
          <w:highlight w:val="none"/>
          <w:lang w:eastAsia="ru-RU"/>
        </w:rPr>
      </w:pPr>
      <w:r>
        <w:rPr>
          <w:b/>
          <w:bCs/>
          <w:sz w:val="48"/>
          <w:szCs w:val="48"/>
          <w:highlight w:val="none"/>
          <w:lang w:eastAsia="ru-RU"/>
        </w:rPr>
      </w:r>
      <w:r>
        <w:rPr>
          <w:b/>
          <w:bCs/>
          <w:sz w:val="48"/>
          <w:szCs w:val="48"/>
          <w:highlight w:val="none"/>
          <w:lang w:eastAsia="ru-RU"/>
        </w:rPr>
      </w:r>
      <w:r>
        <w:rPr>
          <w:b/>
          <w:bCs/>
          <w:sz w:val="48"/>
          <w:szCs w:val="48"/>
          <w:highlight w:val="none"/>
          <w:lang w:eastAsia="ru-RU"/>
        </w:rPr>
      </w:r>
    </w:p>
    <w:p>
      <w:pPr>
        <w:jc w:val="center"/>
        <w:pageBreakBefore w:val="0"/>
        <w:rPr>
          <w:b/>
          <w:bCs/>
          <w:sz w:val="48"/>
          <w:szCs w:val="48"/>
          <w:highlight w:val="none"/>
          <w:lang w:eastAsia="ru-RU"/>
        </w:rPr>
      </w:pPr>
      <w:r>
        <w:rPr>
          <w:b/>
          <w:bCs/>
          <w:sz w:val="48"/>
          <w:szCs w:val="48"/>
          <w:highlight w:val="none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504950" cy="17049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26916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504949" cy="1704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118.50pt;height:134.2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b/>
          <w:bCs/>
          <w:sz w:val="48"/>
          <w:szCs w:val="48"/>
          <w:highlight w:val="none"/>
          <w:lang w:eastAsia="ru-RU"/>
        </w:rPr>
      </w:r>
      <w:r>
        <w:rPr>
          <w:b/>
          <w:bCs/>
          <w:sz w:val="48"/>
          <w:szCs w:val="48"/>
          <w:highlight w:val="none"/>
          <w:lang w:eastAsia="ru-RU"/>
        </w:rPr>
      </w:r>
    </w:p>
    <w:p>
      <w:pPr>
        <w:jc w:val="center"/>
        <w:pageBreakBefore w:val="0"/>
        <w:rPr>
          <w:b/>
          <w:bCs/>
          <w:sz w:val="48"/>
          <w:szCs w:val="48"/>
          <w:highlight w:val="none"/>
          <w:lang w:eastAsia="ru-RU"/>
        </w:rPr>
      </w:pPr>
      <w:r>
        <w:rPr>
          <w:b/>
          <w:bCs/>
          <w:sz w:val="48"/>
          <w:szCs w:val="48"/>
          <w:highlight w:val="none"/>
          <w:lang w:eastAsia="ru-RU"/>
        </w:rPr>
      </w:r>
      <w:r>
        <w:rPr>
          <w:b/>
          <w:bCs/>
          <w:sz w:val="48"/>
          <w:szCs w:val="48"/>
          <w:highlight w:val="none"/>
          <w:lang w:eastAsia="ru-RU"/>
        </w:rPr>
      </w:r>
      <w:r>
        <w:rPr>
          <w:b/>
          <w:bCs/>
          <w:sz w:val="48"/>
          <w:szCs w:val="48"/>
          <w:highlight w:val="none"/>
          <w:lang w:eastAsia="ru-RU"/>
        </w:rPr>
      </w:r>
    </w:p>
    <w:p>
      <w:pPr>
        <w:jc w:val="center"/>
        <w:pageBreakBefore w:val="0"/>
        <w:rPr>
          <w:b/>
          <w:bCs/>
          <w:sz w:val="48"/>
          <w:szCs w:val="48"/>
          <w:highlight w:val="none"/>
          <w:lang w:eastAsia="ru-RU"/>
        </w:rPr>
      </w:pPr>
      <w:r>
        <w:rPr>
          <w:b/>
          <w:bCs/>
          <w:sz w:val="48"/>
          <w:szCs w:val="48"/>
          <w:highlight w:val="none"/>
          <w:lang w:eastAsia="ru-RU"/>
        </w:rPr>
      </w:r>
      <w:r>
        <w:rPr>
          <w:b/>
          <w:bCs/>
          <w:sz w:val="48"/>
          <w:szCs w:val="48"/>
          <w:highlight w:val="none"/>
          <w:lang w:eastAsia="ru-RU"/>
        </w:rPr>
      </w:r>
      <w:r>
        <w:rPr>
          <w:b/>
          <w:bCs/>
          <w:sz w:val="48"/>
          <w:szCs w:val="48"/>
          <w:highlight w:val="none"/>
          <w:lang w:eastAsia="ru-RU"/>
        </w:rPr>
      </w:r>
    </w:p>
    <w:p>
      <w:pPr>
        <w:pStyle w:val="903"/>
        <w:jc w:val="center"/>
        <w:pageBreakBefore w:val="0"/>
        <w:rPr>
          <w:b/>
          <w:bCs/>
          <w:color w:val="0070c0"/>
          <w:sz w:val="48"/>
          <w:szCs w:val="48"/>
          <w:highlight w:val="none"/>
        </w:rPr>
      </w:pPr>
      <w:r>
        <w:rPr>
          <w:b/>
          <w:bCs/>
          <w:color w:val="0070c0"/>
          <w:sz w:val="48"/>
          <w:szCs w:val="48"/>
          <w:lang w:eastAsia="ru-RU"/>
        </w:rPr>
        <w:t xml:space="preserve">Инвестиционный паспорт</w:t>
      </w:r>
      <w:r>
        <w:rPr>
          <w:b/>
          <w:bCs/>
          <w:color w:val="0070c0"/>
          <w:sz w:val="48"/>
          <w:szCs w:val="48"/>
          <w:highlight w:val="none"/>
        </w:rPr>
      </w:r>
      <w:r>
        <w:rPr>
          <w:b/>
          <w:bCs/>
          <w:color w:val="0070c0"/>
          <w:sz w:val="48"/>
          <w:szCs w:val="48"/>
          <w:highlight w:val="none"/>
        </w:rPr>
      </w:r>
    </w:p>
    <w:p>
      <w:pPr>
        <w:jc w:val="center"/>
        <w:pageBreakBefore w:val="0"/>
        <w:rPr>
          <w:color w:val="0070c0"/>
          <w:sz w:val="48"/>
          <w:szCs w:val="48"/>
        </w:rPr>
      </w:pPr>
      <w:r>
        <w:rPr>
          <w:b/>
          <w:bCs/>
          <w:color w:val="0070c0"/>
          <w:sz w:val="48"/>
          <w:szCs w:val="48"/>
          <w:lang w:eastAsia="ru-RU"/>
        </w:rPr>
      </w:r>
      <w:r>
        <w:rPr>
          <w:b/>
          <w:bCs/>
          <w:color w:val="0070c0"/>
          <w:sz w:val="48"/>
          <w:szCs w:val="48"/>
          <w:lang w:eastAsia="ru-RU"/>
        </w:rPr>
        <w:t xml:space="preserve">Сланцевского</w:t>
      </w:r>
      <w:r>
        <w:rPr>
          <w:b/>
          <w:bCs/>
          <w:color w:val="0070c0"/>
          <w:sz w:val="48"/>
          <w:szCs w:val="48"/>
          <w:lang w:eastAsia="ru-RU"/>
        </w:rPr>
        <w:t xml:space="preserve"> </w:t>
      </w:r>
      <w:r>
        <w:rPr>
          <w:b/>
          <w:bCs/>
          <w:color w:val="0070c0"/>
          <w:sz w:val="48"/>
          <w:szCs w:val="48"/>
          <w:lang w:eastAsia="ru-RU"/>
        </w:rPr>
        <w:t xml:space="preserve">муниципального района </w:t>
      </w:r>
      <w:r>
        <w:rPr>
          <w:color w:val="0070c0"/>
          <w:sz w:val="48"/>
          <w:szCs w:val="48"/>
        </w:rPr>
      </w:r>
      <w:r>
        <w:rPr>
          <w:color w:val="0070c0"/>
          <w:sz w:val="48"/>
          <w:szCs w:val="48"/>
        </w:rPr>
      </w:r>
    </w:p>
    <w:p>
      <w:pPr>
        <w:pStyle w:val="903"/>
        <w:jc w:val="center"/>
        <w:rPr>
          <w:b/>
          <w:bCs/>
          <w:color w:val="0070c0"/>
          <w:sz w:val="48"/>
          <w:szCs w:val="48"/>
          <w:highlight w:val="none"/>
        </w:rPr>
      </w:pPr>
      <w:r>
        <w:rPr>
          <w:b/>
          <w:bCs/>
          <w:color w:val="0070c0"/>
          <w:sz w:val="48"/>
          <w:szCs w:val="48"/>
          <w:lang w:eastAsia="ru-RU"/>
        </w:rPr>
        <w:t xml:space="preserve"> Ленинградской </w:t>
      </w:r>
      <w:r>
        <w:rPr>
          <w:b/>
          <w:bCs/>
          <w:color w:val="0070c0"/>
          <w:sz w:val="48"/>
          <w:szCs w:val="48"/>
          <w:lang w:eastAsia="ru-RU"/>
        </w:rPr>
        <w:t xml:space="preserve">области</w:t>
      </w:r>
      <w:r>
        <w:rPr>
          <w:b/>
          <w:bCs/>
          <w:color w:val="0070c0"/>
          <w:sz w:val="48"/>
          <w:szCs w:val="48"/>
          <w:highlight w:val="none"/>
        </w:rPr>
      </w:r>
      <w:r>
        <w:rPr>
          <w:b/>
          <w:bCs/>
          <w:color w:val="0070c0"/>
          <w:sz w:val="48"/>
          <w:szCs w:val="48"/>
          <w:highlight w:val="none"/>
        </w:rPr>
      </w:r>
    </w:p>
    <w:p>
      <w:pPr>
        <w:jc w:val="center"/>
        <w:rPr>
          <w:b/>
          <w:bCs/>
          <w:color w:val="0070c0"/>
          <w:sz w:val="48"/>
          <w:szCs w:val="48"/>
          <w:highlight w:val="none"/>
        </w:rPr>
      </w:pPr>
      <w:r>
        <w:rPr>
          <w:b/>
          <w:bCs/>
          <w:color w:val="0070c0"/>
          <w:sz w:val="48"/>
          <w:szCs w:val="48"/>
          <w:highlight w:val="none"/>
          <w:lang w:eastAsia="ru-RU"/>
        </w:rPr>
      </w:r>
      <w:r>
        <w:rPr>
          <w:b/>
          <w:bCs/>
          <w:color w:val="0070c0"/>
          <w:sz w:val="48"/>
          <w:szCs w:val="48"/>
          <w:highlight w:val="none"/>
        </w:rPr>
      </w:r>
      <w:r>
        <w:rPr>
          <w:b/>
          <w:bCs/>
          <w:color w:val="0070c0"/>
          <w:sz w:val="48"/>
          <w:szCs w:val="48"/>
          <w:highlight w:val="none"/>
        </w:rPr>
      </w:r>
    </w:p>
    <w:p>
      <w:pPr>
        <w:jc w:val="center"/>
        <w:rPr>
          <w:b/>
          <w:bCs/>
          <w:color w:val="00b0f0"/>
          <w:sz w:val="48"/>
          <w:szCs w:val="48"/>
          <w:highlight w:val="none"/>
        </w:rPr>
      </w:pPr>
      <w:r>
        <w:rPr>
          <w:b/>
          <w:bCs/>
          <w:color w:val="0070c0"/>
          <w:sz w:val="48"/>
          <w:szCs w:val="48"/>
          <w:highlight w:val="none"/>
          <w:lang w:eastAsia="ru-RU"/>
        </w:rPr>
        <w:t xml:space="preserve">за 2023 год</w:t>
      </w:r>
      <w:r>
        <w:rPr>
          <w:b/>
          <w:bCs/>
          <w:color w:val="00b0f0"/>
          <w:sz w:val="48"/>
          <w:szCs w:val="48"/>
          <w:highlight w:val="none"/>
        </w:rPr>
      </w:r>
      <w:r>
        <w:rPr>
          <w:b/>
          <w:bCs/>
          <w:color w:val="00b0f0"/>
          <w:sz w:val="48"/>
          <w:szCs w:val="48"/>
          <w:highlight w:val="none"/>
        </w:rPr>
      </w:r>
    </w:p>
    <w:p>
      <w:pPr>
        <w:jc w:val="center"/>
        <w:rPr>
          <w:b/>
          <w:bCs/>
          <w:lang w:eastAsia="ru-RU"/>
        </w:rPr>
      </w:pPr>
      <w:r>
        <w:rPr>
          <w:b/>
          <w:bCs/>
          <w:highlight w:val="none"/>
          <w:lang w:eastAsia="ru-RU"/>
        </w:rPr>
      </w:r>
      <w:r>
        <w:rPr>
          <w:b/>
          <w:bCs/>
          <w:lang w:eastAsia="ru-RU"/>
        </w:rPr>
      </w:r>
      <w:r>
        <w:rPr>
          <w:b/>
          <w:bCs/>
          <w:lang w:eastAsia="ru-RU"/>
        </w:rPr>
      </w:r>
    </w:p>
    <w:p>
      <w:pPr>
        <w:jc w:val="center"/>
        <w:rPr>
          <w:b/>
          <w:bCs/>
          <w:highlight w:val="none"/>
          <w:lang w:eastAsia="ru-RU"/>
        </w:rPr>
      </w:pP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</w:p>
    <w:p>
      <w:pPr>
        <w:jc w:val="center"/>
        <w:rPr>
          <w:b/>
          <w:bCs/>
          <w:highlight w:val="none"/>
          <w:lang w:eastAsia="ru-RU"/>
        </w:rPr>
      </w:pP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</w:p>
    <w:p>
      <w:pPr>
        <w:jc w:val="center"/>
        <w:rPr>
          <w:b/>
          <w:bCs/>
          <w:highlight w:val="none"/>
          <w:lang w:eastAsia="ru-RU"/>
        </w:rPr>
      </w:pP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</w:p>
    <w:p>
      <w:pPr>
        <w:jc w:val="center"/>
        <w:rPr>
          <w:b/>
          <w:bCs/>
          <w:highlight w:val="none"/>
          <w:lang w:eastAsia="ru-RU"/>
        </w:rPr>
      </w:pP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</w:p>
    <w:p>
      <w:pPr>
        <w:jc w:val="center"/>
        <w:rPr>
          <w:b/>
          <w:bCs/>
          <w:highlight w:val="none"/>
          <w:lang w:eastAsia="ru-RU"/>
        </w:rPr>
      </w:pPr>
      <w:r>
        <w:rPr>
          <w:b/>
          <w:bCs/>
          <w:lang w:eastAsia="ru-RU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748734" behindDoc="0" locked="0" layoutInCell="1" allowOverlap="1">
                <wp:simplePos x="0" y="0"/>
                <wp:positionH relativeFrom="column">
                  <wp:posOffset>-911543</wp:posOffset>
                </wp:positionH>
                <wp:positionV relativeFrom="paragraph">
                  <wp:posOffset>4101828</wp:posOffset>
                </wp:positionV>
                <wp:extent cx="7581900" cy="285750"/>
                <wp:effectExtent l="12700" t="12700" r="12700" b="1270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7581899" cy="2857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type="#_x0000_t1" style="position:absolute;z-index:501748734;o:allowoverlap:true;o:allowincell:true;mso-position-horizontal-relative:text;margin-left:-71.78pt;mso-position-horizontal:absolute;mso-position-vertical-relative:text;margin-top:322.98pt;mso-position-vertical:absolute;width:597.00pt;height:22.50pt;mso-wrap-distance-left:9.07pt;mso-wrap-distance-top:0.00pt;mso-wrap-distance-right:9.07pt;mso-wrap-distance-bottom:0.00pt;visibility:visible;" fillcolor="#00B0F0" stroked="f" strokeweight="2.00pt"/>
            </w:pict>
          </mc:Fallback>
        </mc:AlternateContent>
      </w:r>
      <w:r>
        <w:rPr>
          <w:b/>
          <w:bCs/>
          <w:highlight w:val="none"/>
          <w:lang w:eastAsia="ru-RU"/>
        </w:rPr>
      </w:r>
      <w:r>
        <w:rPr>
          <w:b/>
          <w:bCs/>
          <w:highlight w:val="none"/>
          <w:lang w:eastAsia="ru-RU"/>
        </w:rPr>
      </w:r>
    </w:p>
    <w:p>
      <w:pPr>
        <w:pStyle w:val="903"/>
        <w:jc w:val="center"/>
        <w:pageBreakBefore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Инвестиционный паспорт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Сланцевского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муниципального района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 Ленинградской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области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Style w:val="903"/>
        <w:ind w:left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r>
      <w:r>
        <w:rPr>
          <w:rFonts w:ascii="Times New Roman" w:hAnsi="Times New Roman" w:cs="Times New Roman"/>
          <w:bCs/>
          <w:sz w:val="24"/>
          <w:szCs w:val="24"/>
        </w:rPr>
      </w:r>
    </w:p>
    <w:p>
      <w:pPr>
        <w:pStyle w:val="90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Характеристика социально-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экономического положения района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Style w:val="903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pStyle w:val="903"/>
        <w:numPr>
          <w:ilvl w:val="1"/>
          <w:numId w:val="1"/>
        </w:numPr>
        <w:ind w:left="426" w:hanging="426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iCs/>
          <w:sz w:val="24"/>
          <w:szCs w:val="24"/>
          <w:lang w:eastAsia="ru-RU"/>
        </w:rPr>
        <w:t xml:space="preserve">Месторасположение</w:t>
      </w:r>
      <w:r>
        <w:rPr>
          <w:rFonts w:ascii="Times New Roman" w:hAnsi="Times New Roman" w:eastAsia="Times New Roman" w:cs="Times New Roman"/>
          <w:b/>
          <w:i/>
          <w:iCs/>
          <w:sz w:val="24"/>
          <w:szCs w:val="24"/>
          <w:lang w:eastAsia="ru-RU"/>
        </w:rPr>
      </w:r>
      <w:r>
        <w:rPr>
          <w:rFonts w:ascii="Times New Roman" w:hAnsi="Times New Roman" w:cs="Times New Roman"/>
          <w:b/>
          <w:i/>
          <w:iCs/>
          <w:sz w:val="24"/>
          <w:szCs w:val="24"/>
        </w:rPr>
      </w:r>
    </w:p>
    <w:p>
      <w:pPr>
        <w:pStyle w:val="934"/>
        <w:ind w:firstLine="426"/>
        <w:jc w:val="both"/>
        <w:spacing w:before="0" w:after="0"/>
        <w:rPr>
          <w:lang w:val="ru-RU"/>
        </w:rPr>
      </w:pPr>
      <w:r>
        <w:rPr>
          <w:lang w:eastAsia="ru-RU" w:bidi="hi-IN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0609663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36830</wp:posOffset>
                </wp:positionV>
                <wp:extent cx="1945005" cy="1366520"/>
                <wp:effectExtent l="0" t="0" r="0" b="0"/>
                <wp:wrapTight wrapText="bothSides">
                  <wp:wrapPolygon edited="1">
                    <wp:start x="-105" y="0"/>
                    <wp:lineTo x="-105" y="21449"/>
                    <wp:lineTo x="21600" y="21449"/>
                    <wp:lineTo x="21600" y="0"/>
                    <wp:lineTo x="-105" y="0"/>
                  </wp:wrapPolygon>
                </wp:wrapTight>
                <wp:docPr id="4" name="_x0000_s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94500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0609663;o:allowoverlap:true;o:allowincell:true;mso-position-horizontal-relative:text;margin-left:2.40pt;mso-position-horizontal:absolute;mso-position-vertical-relative:text;margin-top:2.90pt;mso-position-vertical:absolute;width:153.15pt;height:107.60pt;mso-wrap-distance-left:9.00pt;mso-wrap-distance-top:0.00pt;mso-wrap-distance-right:9.00pt;mso-wrap-distance-bottom:0.00pt;" wrapcoords="-485 0 -485 99301 100000 99301 100000 0 -485 0" stroked="f">
                <v:path textboxrect="0,0,0,0"/>
                <w10:wrap type="tight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Сланцевский район расположен на юго-западе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Ленинградской област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 в междуречье рек Нарва и Луга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на железнодорожной магистрали Санкт-Петербург – Сланцы. Автомобильным транспортом город связан с Санкт-Петербургом,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Кингисеппом,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Псковом, Лугой, Гдовом, Новгородом, Ивангородом</w:t>
      </w:r>
      <w:r>
        <w:t xml:space="preserve">. </w:t>
      </w:r>
      <w:r>
        <w:rPr>
          <w:lang w:val="ru-RU"/>
        </w:rPr>
      </w:r>
      <w:r>
        <w:rPr>
          <w:lang w:val="ru-RU"/>
        </w:rPr>
      </w:r>
    </w:p>
    <w:p>
      <w:pPr>
        <w:pStyle w:val="961"/>
        <w:ind w:left="0" w:firstLine="426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 севера и вост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ока район граничит с Кингисеппским, Волосовским и Лужским районами Ленинградской области, с юга – Гдовским и Плюсским районами Псковской области. С 1993 года по западной границе района проходит государственная граница с Эстонской Республикой по реке Нарва.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90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Расстояния от Сланцевского муниципального района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 Санкт-Петербурга, 17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0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км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 Москвы, 775 км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 Морского порта Санкт-Петербурга, 180 км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 Аэропорта Пулково, 178 км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 Эстонии, 74 км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до морского порта Усть-Луга, 90 км.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61"/>
        <w:ind w:left="0" w:firstLine="426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Общая площадь района составляет 219,1 тыс. га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(или 2191,1 км²)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 Из них более половины площади приходится на земли лесного фонда, земли сельскохозяйственного назначения занимают одну треть территории района.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Район расположен в лесостепной зоне, площадь лесов на территории Сланцевского района составляет 163,8 тыс. га (3/4 от площади всего района).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почвенном покрове района преобладают подзолистые, песчаные, супесчаные,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торфяно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-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глеевые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 торфянистые подзолы. По механическому составу почвы суглинистые и глинистые. Во многих местах почвы подвержены водной эрозии.</w:t>
      </w:r>
      <w:r>
        <w:rPr>
          <w:rFonts w:ascii="Times New Roman" w:hAnsi="Times New Roman" w:eastAsia="Times New Roman" w:cs="Times New Roman"/>
          <w:sz w:val="24"/>
          <w:szCs w:val="24"/>
          <w14:ligatures w14:val="none"/>
        </w:rPr>
      </w:r>
      <w:r>
        <w:rPr>
          <w:rFonts w:ascii="Times New Roman" w:hAnsi="Times New Roman" w:cs="Times New Roman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Сланцевский </w:t>
      </w:r>
      <w:r>
        <w:rPr>
          <w:rFonts w:ascii="Times New Roman" w:hAnsi="Times New Roman" w:eastAsia="Times New Roman" w:cs="Times New Roman"/>
          <w:sz w:val="24"/>
          <w:szCs w:val="24"/>
          <w:lang w:val="en-NZ"/>
        </w:rPr>
        <w:t xml:space="preserve">рай</w:t>
      </w:r>
      <w:r>
        <w:rPr>
          <w:rFonts w:ascii="Times New Roman" w:hAnsi="Times New Roman" w:eastAsia="Times New Roman" w:cs="Times New Roman"/>
          <w:sz w:val="24"/>
          <w:szCs w:val="24"/>
          <w:lang w:val="en-NZ"/>
        </w:rPr>
        <w:t xml:space="preserve">он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богат разнообразными акваториями (реки Плюса, Нарва, Долгая и др.) и десятками озер (Чудское, Долгое, Самро и др.) в хорошем экологическом состоянии. Река Плюсса впадает в Нарвское водохранилище и является правым притоком реки Нарвы. Длина реки 281 км. </w:t>
      </w:r>
      <w:r>
        <w:rPr>
          <w:rFonts w:ascii="Times New Roman" w:hAnsi="Times New Roman" w:eastAsia="Times New Roman" w:cs="Times New Roman"/>
          <w:sz w:val="24"/>
          <w:szCs w:val="24"/>
          <w14:ligatures w14:val="none"/>
        </w:rPr>
      </w:r>
      <w:r>
        <w:rPr>
          <w:rFonts w:ascii="Times New Roman" w:hAnsi="Times New Roman" w:cs="Times New Roman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Среди полезных ископаемых района следует отметить горючие сланцы. 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х пласты залегают на площади 4 тысячи квадратных километров на глубине от 80 до 100 метров. Геологические запасы сланцев в районе свыше 7 миллиардов тонн. Из других ископаемых промышленное значение имеют мергели и известняки, глины, пески, торф, сапропель.</w:t>
      </w:r>
      <w:r>
        <w:rPr>
          <w:rFonts w:ascii="Times New Roman" w:hAnsi="Times New Roman" w:eastAsia="Times New Roman" w:cs="Times New Roman"/>
          <w:sz w:val="24"/>
          <w:szCs w:val="24"/>
          <w14:ligatures w14:val="none"/>
        </w:rPr>
      </w:r>
      <w:r>
        <w:rPr>
          <w:rFonts w:ascii="Times New Roman" w:hAnsi="Times New Roman" w:cs="Times New Roman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составе Сланцевского муниципального района 7 поселени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 156 сельских населе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нных пунктов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r>
      <w:r>
        <w:rPr>
          <w:rFonts w:ascii="Times New Roman" w:hAnsi="Times New Roman" w:cs="Times New Roman"/>
          <w:bCs/>
          <w:sz w:val="24"/>
          <w:szCs w:val="24"/>
        </w:rPr>
      </w:r>
    </w:p>
    <w:p>
      <w:pPr>
        <w:pStyle w:val="903"/>
        <w:numPr>
          <w:ilvl w:val="1"/>
          <w:numId w:val="1"/>
        </w:numPr>
        <w:ind w:left="0" w:firstLine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  <w:t xml:space="preserve">Экономический потенциал</w:t>
      </w: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</w:p>
    <w:p>
      <w:pPr>
        <w:pStyle w:val="90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iCs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Развитие экономики ра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йона связано с началом промышленного освоения сланцев. Сланцевский район на протяжении нескольких лет входил в число наиболее промышленно развитых в Ленинградской области. Добыча сланцев велась более 70 лет. С 2010 года добыча сланца полностью остановлена.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За последние годы в экономике Сланцевского муниципального р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айона наметились положительные тенденции. Несмотря на то, что ведущие в советский период предприятия до сих пор проходят стадию реорганизации под новые рыночные условия, на территории района реализуются инвестиционные проекты, появляются новые предприятия.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03"/>
        <w:ind w:left="0" w:right="0" w:firstLine="709"/>
        <w:jc w:val="both"/>
        <w:tabs>
          <w:tab w:val="left" w:pos="567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 территории Сланцевского района зарегистрирован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US"/>
        </w:rPr>
        <w:t xml:space="preserve">j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US"/>
        </w:rPr>
        <w:t xml:space="preserve">400</w:t>
      </w:r>
      <w:r>
        <w:rPr>
          <w:rFonts w:ascii="Times New Roman" w:hAnsi="Times New Roman" w:eastAsia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организаци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й (в том числе 238 малых и средних организаций),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1126 индивидуальных предпринимателей. Количество самозанятых граждан  составило 2757 человек.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  <w:t xml:space="preserve">а) Промышленность</w:t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sz w:val="24"/>
          <w:szCs w:val="24"/>
        </w:rPr>
      </w:r>
    </w:p>
    <w:p>
      <w:pPr>
        <w:ind w:firstLine="709"/>
        <w:jc w:val="both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преобладающей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отраслью экономики Сланцевского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муниципального района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является промышленность. К наиболее значимым промышленным предприятиям района по основным видам деятельности относя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тся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ОАО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Сланцевский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цементный завод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Цесла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», ООО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Петербургцемент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», ООО «СЛАНЦЫ», ООО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ЕвроАэроБетон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», АО «Нева-Энергия», ООО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Экорусметалл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», ООО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Хорс-Резинотехника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».</w:t>
      </w:r>
      <w:r>
        <w:rPr>
          <w:rFonts w:ascii="Times New Roman" w:hAnsi="Times New Roman" w:eastAsia="Times New Roman" w:cs="Times New Roman"/>
          <w:sz w:val="24"/>
          <w:szCs w:val="24"/>
          <w14:ligatures w14:val="none"/>
        </w:rPr>
      </w:r>
      <w:r>
        <w:rPr>
          <w:rFonts w:ascii="Times New Roman" w:hAnsi="Times New Roman" w:cs="Times New Roman"/>
          <w:sz w:val="24"/>
          <w:szCs w:val="24"/>
          <w14:ligatures w14:val="none"/>
        </w:rPr>
      </w:r>
    </w:p>
    <w:p>
      <w:pPr>
        <w:ind w:firstLine="709"/>
        <w:jc w:val="both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Кроме того, малые п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ромышленные предприятия представляют различные виды производства: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ЗАО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Неозон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», ООО «Научно-производственное предприятие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Сланцевский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завод пружин», ООО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Сварог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», ООО «БТР-С», ООО «Инновационные технологии», ООО «Перспектива», ООО «Исток», ООО «Закройщик»,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ООО «Пим-Конструкция», ООО ПКФ «Дизайн», ООО «РМЗ», ООО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Промресурс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», ООО «Петербургская керамика», ООО «ЭМ-КОМП», ООО «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Сланцы-Электромонтаж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».</w:t>
      </w:r>
      <w:r>
        <w:rPr>
          <w:rFonts w:ascii="Times New Roman" w:hAnsi="Times New Roman" w:eastAsia="Times New Roman" w:cs="Times New Roman"/>
          <w:sz w:val="24"/>
          <w:szCs w:val="24"/>
          <w14:ligatures w14:val="none"/>
        </w:rPr>
      </w:r>
      <w:r>
        <w:rPr>
          <w:rFonts w:ascii="Times New Roman" w:hAnsi="Times New Roman" w:cs="Times New Roman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ОАО «Сланцевский цементный завод «Цесла»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сегодня является одним из крупных промышленных предприятий стройиндустрии Сланцевского района.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Строительство завода начато в 1957 и закончено в 1960 году.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 2001 года собственником предприятия является немецкая холдинговая компания «Heidelberg Cement Group».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 последние годы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компания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активно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инвестировала в поэтапную модернизацию производства завода «ЦЕСЛА».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настоящее время завод выпуск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ет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около</w:t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8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55,5 тыс. тонн цемента в год с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объемом отгруженной (реализованной) продукции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более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4,9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млрд. руб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 предприятии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идет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реализация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инвестиционных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проектов.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АО «Сланцевский цементн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ый завод «Цесла» работает по энергосберегающей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технологии (сухой способ производств). 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настоящее время завод выпускает цемент шести марок, в том числе CEM I – 42,5 R, который сертифицирован по европейскому стандарту качества и поставляется на экспорт, а также известняковую муку. На сегодняшний день единая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стратегическая цель предприятия и компании HEIDELBERGCEMENT Group – довести производство качественного высокомарочного цемента до 1,2 млн. тонн в год за счет модернизации существующего технологического оборудования.</w:t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2023 году среднесписочная численность работников предприятия составила 349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человек.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auto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14:ligatures w14:val="none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ООО «Петербургцемент»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- это высокотехнологичное цементное предприятие нового поколения, запуск которого состоялся в ноябре 2010 года.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Завод оснащен современным оборудованием ведущих европейских производителей и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п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рименяет наиболее эффективн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ую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сух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ую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технологи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ю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производства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клинкера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и выпускает популярные марки цемента навалом и в мешках.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  <w14:ligatures w14:val="none"/>
        </w:rPr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Контроль качества на заводе «Петербур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гцемент» является одной из приоритетных задач. Именно поэтому лаборатория контроля качества оснащена как современный европейский научно-исследовательский институт. Благодаря единой автоматизированной системе, внедренной на предприятии, а также роботизирова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нному оборудованию лаборатория непрерывно отслеживает качество входящего сырья, сырьевой муки, клинкера и готового цемента. Это - основа выпуска цемента со стабильно высокими, постоянными качественными характеристиками.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Кроме того, технология производства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предполагает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частичное использование отходов производства сланца при изготовлении цемента, что обеспечило более чем 40% необходимого энергопотребления производственных линий. Благодаря этому  цементный завод один из самых энергоэффективных заводов в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России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настоящее время завод выпуска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ет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порядка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миллиона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тонн цемента в год с оборотом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около 6,1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млрд. руб.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Продолжается реализация инвестиционных проектов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2023 году среднесписочная численность работников предприятия составила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521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человек.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  <w:shd w:val="clear" w:color="auto" w:fill="ffffff"/>
        </w:rPr>
        <w:t xml:space="preserve">ООО «СЛАНЦЫ»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создано на промышленной площадке одного из старейших предприятий города ОАО «Завод «Сланцы». С 1952 года занималось сланцепереработкой с целью получения бытового газа, сланцевого масла и т.д., на предприятии трудилось более 2 тыс. человек. В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связи с закрытием шахт предприятие изменило свое направление деятельности и номенклатуру продукции. Основные виды продукции: электроэнергия, теплоэнергия, масло сланцевое, смолы полимерные, сольвент, сольвент каменноугольный, жидкие продукты пиролиза, кек.</w:t>
      </w:r>
      <w:r>
        <w:rPr>
          <w:rFonts w:ascii="Times New Roman" w:hAnsi="Times New Roman" w:eastAsia="Times New Roman" w:cs="Times New Roman"/>
          <w:color w:val="c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В настоящее время реализация инвестиционных проектов приостановлена.</w:t>
      </w:r>
      <w:r>
        <w:rPr>
          <w:rFonts w:ascii="Times New Roman" w:hAnsi="Times New Roman" w:eastAsia="Times New Roman" w:cs="Times New Roman"/>
          <w:color w:val="c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Объем отгруженной продукции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 2023 год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около 0,8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млрд. руб</w:t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Среднесписочная численность работников ООО «СЛАНЦЫ» состав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ляет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3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25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 человек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r>
    </w:p>
    <w:p>
      <w:pPr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auto"/>
          <w:sz w:val="24"/>
          <w:szCs w:val="24"/>
        </w:rPr>
        <w:t xml:space="preserve">ООО «ЕвроАэроБетон» -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завод по производству газобетона, строительство которого было закончено в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2008 году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В непосредственной близ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ости от предприятия располагаются основные поставщики сырья для производства газобетона, в т.ч. два цементных завода, завод по производству извести, залежи кварцевого песка, залежи гипса. В настоящее время предприятие продолжает свое планомерное развитие.</w:t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За 2023 год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реднесписочная численность работников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предприяти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я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составила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10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 человек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ООО «Экорусметалл»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- единственный в Ленинградской области завод по переработке отработанных свинцово - кислотных аккумуляторных батарей.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zh-CN" w:bidi="hi-IN"/>
        </w:rPr>
        <w:t xml:space="preserve"> Проект реализуется с 2016 года.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zh-CN" w:bidi="hi-IN"/>
        </w:rPr>
        <w:t xml:space="preserve">Предприятие покрывает возникающие потребности потребителей свинца на внутреннем рынке и успешно реализует значительную часть своей продукции на экспорт.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В настоящее время на предприятии работает 96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человек.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auto"/>
          <w:sz w:val="24"/>
          <w:szCs w:val="24"/>
          <w14:ligatures w14:val="none"/>
        </w:rPr>
      </w:r>
    </w:p>
    <w:p>
      <w:pPr>
        <w:pStyle w:val="903"/>
        <w:jc w:val="both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c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c00000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c00000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Промышленностью района выпускаются, как товары производственно-технического назн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чения, так и народного потребления.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Оборот крупных и средних предприятий за 2023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год состав  или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22,7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млрд. руб.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 что на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6% в действующих ценах больше, чем за 202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 год.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Отгрузка товаров собственного производства, выполнение работ и услуг крупными и средними предприятиями увеличилась на 4% и составила 18,0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млрд. руб.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ind w:firstLine="426"/>
        <w:jc w:val="both"/>
        <w:rPr>
          <w:color w:val="auto"/>
          <w:highlight w:val="none"/>
        </w:rPr>
      </w:pPr>
      <w:r>
        <w:rPr>
          <w:color w:val="auto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776382" behindDoc="0" locked="0" layoutInCell="1" allowOverlap="1">
                <wp:simplePos x="0" y="0"/>
                <wp:positionH relativeFrom="column">
                  <wp:posOffset>3095862</wp:posOffset>
                </wp:positionH>
                <wp:positionV relativeFrom="paragraph">
                  <wp:posOffset>73744</wp:posOffset>
                </wp:positionV>
                <wp:extent cx="3043658" cy="3651027"/>
                <wp:effectExtent l="0" t="0" r="0" b="0"/>
                <wp:wrapTopAndBottom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13880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3043657" cy="36510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501776382;o:allowoverlap:true;o:allowincell:true;mso-position-horizontal-relative:text;margin-left:243.77pt;mso-position-horizontal:absolute;mso-position-vertical-relative:text;margin-top:5.81pt;mso-position-vertical:absolute;width:239.66pt;height:287.48pt;mso-wrap-distance-left:9.07pt;mso-wrap-distance-top:0.00pt;mso-wrap-distance-right:9.07pt;mso-wrap-distance-bottom:0.00pt;" stroked="false">
                <v:path textboxrect="0,0,0,0"/>
                <w10:wrap type="topAndBottom"/>
                <v:imagedata r:id="rId12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77023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73744</wp:posOffset>
                </wp:positionV>
                <wp:extent cx="3113782" cy="3651027"/>
                <wp:effectExtent l="0" t="0" r="0" b="0"/>
                <wp:wrapTopAndBottom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3436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3113781" cy="36510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501770238;o:allowoverlap:true;o:allowincell:true;mso-position-horizontal-relative:text;margin-left:-5.70pt;mso-position-horizontal:absolute;mso-position-vertical-relative:text;margin-top:5.81pt;mso-position-vertical:absolute;width:245.18pt;height:287.48pt;mso-wrap-distance-left:9.07pt;mso-wrap-distance-top:0.00pt;mso-wrap-distance-right:9.07pt;mso-wrap-distance-bottom:0.00pt;" stroked="false">
                <v:path textboxrect="0,0,0,0"/>
                <w10:wrap type="topAndBottom"/>
                <v:imagedata r:id="rId13" o:title=""/>
              </v:shape>
            </w:pict>
          </mc:Fallback>
        </mc:AlternateContent>
      </w:r>
      <w:r>
        <w:rPr>
          <w:color w:val="auto"/>
          <w:highlight w:val="none"/>
        </w:rPr>
      </w:r>
      <w:r>
        <w:rPr>
          <w:color w:val="auto"/>
          <w:highlight w:val="none"/>
        </w:rPr>
      </w:r>
    </w:p>
    <w:p>
      <w:pPr>
        <w:ind w:firstLine="426"/>
        <w:jc w:val="both"/>
        <w:rPr>
          <w:color w:val="auto"/>
          <w:highlight w:val="none"/>
        </w:rPr>
      </w:pPr>
      <w:r>
        <w:rPr>
          <w:color w:val="auto"/>
          <w:highlight w:val="none"/>
        </w:rPr>
      </w:r>
      <w:r>
        <w:rPr>
          <w:color w:val="auto"/>
          <w:highlight w:val="none"/>
        </w:rPr>
      </w:r>
      <w:r>
        <w:rPr>
          <w:color w:val="auto"/>
          <w:highlight w:val="none"/>
        </w:rPr>
      </w:r>
    </w:p>
    <w:p>
      <w:pPr>
        <w:ind w:firstLine="426"/>
        <w:jc w:val="both"/>
        <w:rPr>
          <w:color w:val="auto"/>
          <w:highlight w:val="none"/>
        </w:rPr>
      </w:pPr>
      <w:r>
        <w:rPr>
          <w:color w:val="auto"/>
          <w:highlight w:val="none"/>
        </w:rPr>
      </w:r>
      <w:r>
        <w:rPr>
          <w:color w:val="auto"/>
          <w:highlight w:val="none"/>
        </w:rPr>
      </w:r>
      <w:r>
        <w:rPr>
          <w:color w:val="auto"/>
          <w:highlight w:val="none"/>
        </w:rPr>
      </w:r>
    </w:p>
    <w:p>
      <w:pPr>
        <w:ind w:firstLine="426"/>
        <w:jc w:val="both"/>
        <w:rPr>
          <w:color w:val="auto"/>
          <w:highlight w:val="none"/>
        </w:rPr>
      </w:pPr>
      <w:r>
        <w:rPr>
          <w:color w:val="auto"/>
          <w:highlight w:val="none"/>
        </w:rPr>
      </w:r>
      <w:r>
        <w:rPr>
          <w:color w:val="auto"/>
          <w:highlight w:val="none"/>
        </w:rPr>
      </w:r>
      <w:r>
        <w:rPr>
          <w:color w:val="auto"/>
          <w:highlight w:val="none"/>
        </w:rPr>
      </w:r>
    </w:p>
    <w:p>
      <w:pPr>
        <w:ind w:firstLine="426"/>
        <w:jc w:val="both"/>
        <w:rPr>
          <w:color w:val="auto"/>
          <w:highlight w:val="none"/>
        </w:rPr>
      </w:pPr>
      <w:r>
        <w:rPr>
          <w:color w:val="auto"/>
          <w:highlight w:val="none"/>
        </w:rPr>
      </w:r>
      <w:r>
        <w:rPr>
          <w:color w:val="auto"/>
          <w:highlight w:val="none"/>
        </w:rPr>
      </w:r>
      <w:r>
        <w:rPr>
          <w:color w:val="auto"/>
          <w:highlight w:val="none"/>
        </w:rPr>
      </w:r>
    </w:p>
    <w:p>
      <w:pPr>
        <w:ind w:firstLine="426"/>
        <w:jc w:val="both"/>
        <w:rPr>
          <w:color w:val="auto"/>
          <w:highlight w:val="none"/>
        </w:rPr>
      </w:pPr>
      <w:r>
        <w:rPr>
          <w:color w:val="auto"/>
          <w:highlight w:val="none"/>
        </w:rPr>
      </w:r>
      <w:r>
        <w:rPr>
          <w:color w:val="auto"/>
          <w:highlight w:val="none"/>
        </w:rPr>
      </w:r>
      <w:r>
        <w:rPr>
          <w:color w:val="auto"/>
          <w:highlight w:val="none"/>
        </w:rPr>
      </w:r>
    </w:p>
    <w:p>
      <w:pPr>
        <w:ind w:firstLine="426"/>
        <w:jc w:val="both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Всего среднесписочная численность работающих на крупных и средних предприятиях района выросла на 0,4 % и составила 5849 человек.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:shd w:val="clear" w:color="auto" w:fill="ffffff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shd w:val="clear" w:color="auto" w:fill="ffffff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Среднемесячная заработная плата в целом по Сланцевскому району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крупных и средних предприяти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ях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увеличилась на 12,6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% и составила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61,0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 тыс.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 руб.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r>
    </w:p>
    <w:p>
      <w:pPr>
        <w:ind w:firstLine="426"/>
        <w:jc w:val="both"/>
        <w:rPr>
          <w:color w:val="000000" w:themeColor="text1"/>
          <w:highlight w:val="none"/>
        </w:rPr>
      </w:pPr>
      <w:r>
        <w:rPr>
          <w:color w:val="000000" w:themeColor="text1"/>
          <w:shd w:val="clear" w:color="auto" w:fill="ffffff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790718" behindDoc="0" locked="0" layoutInCell="1" allowOverlap="1">
                <wp:simplePos x="0" y="0"/>
                <wp:positionH relativeFrom="column">
                  <wp:posOffset>3222736</wp:posOffset>
                </wp:positionH>
                <wp:positionV relativeFrom="paragraph">
                  <wp:posOffset>175245</wp:posOffset>
                </wp:positionV>
                <wp:extent cx="2773909" cy="3385369"/>
                <wp:effectExtent l="0" t="0" r="0" b="0"/>
                <wp:wrapSquare wrapText="bothSides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08480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2773908" cy="3385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501790718;o:allowoverlap:true;o:allowincell:true;mso-position-horizontal-relative:text;margin-left:253.76pt;mso-position-horizontal:absolute;mso-position-vertical-relative:text;margin-top:13.80pt;mso-position-vertical:absolute;width:218.42pt;height:266.56pt;mso-wrap-distance-left:9.07pt;mso-wrap-distance-top:0.00pt;mso-wrap-distance-right:9.07pt;mso-wrap-distance-bottom:0.00pt;" stroked="false">
                <v:path textboxrect="0,0,0,0"/>
                <w10:wrap type="square"/>
                <v:imagedata r:id="rId14" o:title=""/>
              </v:shape>
            </w:pict>
          </mc:Fallback>
        </mc:AlternateContent>
      </w:r>
      <w:r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</w:rPr>
      </w:r>
    </w:p>
    <w:p>
      <w:pPr>
        <w:ind w:firstLine="426"/>
        <w:jc w:val="left"/>
        <w:rPr>
          <w:color w:val="000000" w:themeColor="text1"/>
        </w:rPr>
      </w:pPr>
      <w:r>
        <w:rPr>
          <w:color w:val="000000" w:themeColor="text1"/>
          <w:highlight w:val="none"/>
          <w:shd w:val="clear" w:color="auto" w:fill="ffffff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83699" cy="3385369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174407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2883699" cy="33853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7.06pt;height:266.5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903"/>
        <w:ind w:firstLine="426"/>
        <w:jc w:val="both"/>
        <w:rPr>
          <w:color w:val="c00000"/>
          <w:shd w:val="clear" w:color="auto" w:fill="ffffff"/>
        </w:rPr>
      </w:pPr>
      <w:r>
        <w:rPr>
          <w:color w:val="c00000"/>
          <w:shd w:val="clear" w:color="auto" w:fill="ffffff"/>
        </w:rPr>
      </w:r>
      <w:r>
        <w:rPr>
          <w:color w:val="c00000"/>
          <w:shd w:val="clear" w:color="auto" w:fill="ffffff"/>
        </w:rPr>
      </w:r>
      <w:r>
        <w:rPr>
          <w:color w:val="c00000"/>
          <w:shd w:val="clear" w:color="auto" w:fill="ffffff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Развитие экономического комплекса г. Сланцы практически полностью определяет общеэкономическую ситуацию района в целом: концентрируя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75,5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% населения района.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ород обеспечивает выпуск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около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91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% отгруженных товаров собственного производства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 все предприятия, которые ранее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составляли основу промышленности района, в настоящее время находятся в работоспособном состоянии. В то же время их территории и оставшееся имущественные комплексы являются привлекательными инвестиционными площадками, к которым инвесторы проявляют интерес.</w:t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б) Сельское хозяйство</w:t>
      </w:r>
      <w:r>
        <w:rPr>
          <w:rFonts w:ascii="Times New Roman" w:hAnsi="Times New Roman" w:eastAsia="Times New Roman" w:cs="Times New Roman"/>
          <w:b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Агропромышленный компл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екс представлен 9 предприятиями. Развиваются малые формы хозяйствования, на налоговом учете состоит 44 крестьянских (фермерских) хозяйств,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из которых 15 в 2023 году являлись получателями государственной поддержки.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Порядка 1200 граждан ведут личное подсобное хозяйство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из которых 91 хозяйство воспользовалось государственной поддержкой.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Ведущие сельскохозяйственные предприятия, имеющие статус племенных заводов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«Родина» и ЗАО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Осьминское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), в 2023 году получили субсидии из федерального и областного бюдже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тов на сумму 97,9 миллионов рублей по 14 направлениям поддержки.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Несмотря на все сложности 2023 года, аграрии района справились с поставленными задачами и показали рекордные за последние 3 года объемы по сбору зерновых.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Производство молока увеличилось на 9%.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 останавливаясь на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достигнутом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предприятия ежегодно продолжают наращивать объемы производства продукции за счет реализации инвестиционных проектов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по модернизации производства, осуществляют закупк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новой техники.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2023 году животноводческий комплекс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Выскатка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был подключен к сетям газоснабжения, что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позволило снизить расход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электроэнергии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и привело к снижению себестоимости продукции.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Завершена модернизация фермы Перебор АО «Родина» на 268 голов.</w:t>
      </w:r>
      <w:r>
        <w:rPr>
          <w:rFonts w:ascii="Times New Roman" w:hAnsi="Times New Roman" w:eastAsia="Times New Roman" w:cs="Times New Roman" w:eastAsiaTheme="minorHAnsi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ЗАО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Осьминское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» завершило модернизацию животноводческой фермы Замошье на 1000 голов. </w:t>
      </w:r>
      <w:r>
        <w:rPr>
          <w:rFonts w:ascii="Times New Roman" w:hAnsi="Times New Roman" w:eastAsia="Times New Roman" w:cs="Times New Roman" w:eastAsiaTheme="minorHAnsi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Продолжает успешно работать предприятие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Крафт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», которое специализируется на выращивании овощей защищенного грунта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 разведении племенных овец катумской породы.</w:t>
      </w:r>
      <w:r>
        <w:rPr>
          <w:rFonts w:ascii="Times New Roman" w:hAnsi="Times New Roman" w:eastAsia="Times New Roman" w:cs="Times New Roman" w:eastAsiaTheme="minorHAnsi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На территории района работают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предприятия пищевой и перерабатывающей промышленности: ИП Грязнова Т.Н.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(производство хлебобулочных изделий «Ми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шхлеб»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, ООО «Виста»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(переработка рыбы)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, ООО «Нар»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(производство соков)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, ООО «Русский промышленник»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(производство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кондитерских изделий и масложировой продукции)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ООО «Гальян»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разведени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радужной форели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).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В прошлом году открылось новое предприятие ООО «Чудской хлеб», которое производит хлебные слайсы.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Продукцию наших предприятий можно приобрести в магазинах города.</w:t>
      </w:r>
      <w:r>
        <w:rPr>
          <w:rFonts w:ascii="Times New Roman" w:hAnsi="Times New Roman" w:eastAsia="Times New Roman" w:cs="Times New Roman" w:eastAsiaTheme="minorHAnsi"/>
          <w:color w:val="000000" w:themeColor="text1"/>
          <w:sz w:val="24"/>
          <w:szCs w:val="24"/>
          <w:lang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Государство продолжает поддерживать крестьянские фермерские хозяйства, благодаря чему они стабильно работают.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Всего с 2015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года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фермерами района получено 42 гранта на общую сумму 124,6 млн. рублей.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Для решения важной задачи по вовлечению в оборот земель сельхоз назначения мы участвуем в программе «Ленинградский гектар», инициированной Губернатором Ленинградской области А.Ю. Дрозденко. За время участия в программе удалось ввести в оборот 202 гектара.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 Фермерам предоставлен 31 грант на сумму 96 млн.руб.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left="0" w:righ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Начиная с 2019 года, победителями кон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курсных отборов стали 32 участника, которые получили в аренду на льготных условиях 33 земельных участка и гранты на организацию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деятельности.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left="0" w:righ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Всего получено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2 гранта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«Агростартап»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 сумму 7,8 млн.руб.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в том числе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202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3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году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пучен 1 грант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по направлению «мясное скотоводство» на сумму 3,8 млн. руб.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left="0" w:righ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Получено 2 гранта «Ленинградский фермер» на сумму 10 млн. руб., 7 грантов «Начинающий фермер» на сумму 13,8 млн.руб.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Государство поддерживает не только фермеров, но и граждан, ведущих личные подсобные хозяйства, которые получают субсидии на комбикорм.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 рамках муниципальной программы за счет средств бюджета области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 2023 году выплачены субсидии на возмещение части затрат по приобретению комбикорма на содержание сельскохозяйственных животных и птицы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100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получателям (как личным подсобным хозяйствам, так и крестьянским ферме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ским хозяйствам) на общую сумму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2,5 млн.руб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ind w:left="0" w:righ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За счет средств местного бюджета 4 крестьянским (фермерским) хозяйствам оказана поддержка для компенсации затрат по приобретению минеральных удобрений на сумму 91,3 тыс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рублей.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в) Малый бизнес</w:t>
      </w:r>
      <w:r>
        <w:rPr>
          <w:rFonts w:ascii="Times New Roman" w:hAnsi="Times New Roman" w:eastAsia="Times New Roman" w:cs="Times New Roman"/>
          <w:b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Малое и среднее предпринимательство является неотъемлемой и важной частью экономической системы Сланцевского муниципального района. Занимает значительное место в эк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номической и социальной сферах района.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 территории Сланцевского района на 01.01.2024 зарегистрировано 400 организаций (в том числе 238 малых и средних организаций), 1126 индивидуальных предпринимателей.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Количество самозанятых граждан  составило 2757 человек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(увеличение на 43 % к 2022 году)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Малые предприятия представляют различные виды производства: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ООО «Инновационные технологии»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производство фенольной пленки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),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ЗАО «Неозон»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ыпуск пластичных смазок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«Научно-производственное предприятие «Сланцевский завод пружин»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роизводство изделий из проволоки, цепей и пружин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  <w:t xml:space="preserve">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«Сварог»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(производство древесной щепы)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«БТР-С»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(производство защитной специализированной обуви)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«Перспектива»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(производство чемоданов, дамских сумок и аналогичных изделий из кожи)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«Исток»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(пошив верхней женской и мужской одежды)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«Закройщик»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</w:t>
      </w:r>
      <w:r>
        <w:rPr>
          <w:rStyle w:val="990"/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роизводство верхней одежды)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«Пим-Конструкция»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(производство строительных металлических конструкций и изделий)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ПКФ «Дизайн»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(производство товарного бетона)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«РМЗ»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ko-KR" w:bidi="hi-IN"/>
        </w:rPr>
        <w:t xml:space="preserve">п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ko-KR" w:bidi="hi-IN"/>
        </w:rPr>
        <w:t xml:space="preserve">роизводство строительных металлических конструкций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ko-KR" w:bidi="hi-IN"/>
        </w:rPr>
        <w:t xml:space="preserve">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«Промресурс»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(производство прочих металлических цистерн, резервуаров и емкостей)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«Петербургская керамика»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(производство хозяйственных и декоративных керамических изделий)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«ЭМ-КОМП»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(р</w:t>
      </w:r>
      <w:r>
        <w:rPr>
          <w:rStyle w:val="990"/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емонт электрического оборудования)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ООО «Сланцы-Электромонтаж»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</w:t>
      </w:r>
      <w:r>
        <w:rPr>
          <w:rStyle w:val="990"/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ремонт электрического оборудования)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instrText xml:space="preserve"> HYPERLINK "http://slanmo.ru/ooo-areol.html" \o "ООО \«Ареоль\»" </w:instrTex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ООО «Ареоль»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(деятельность в сфере общественного питания)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Большую популярность приобретает такой вид трудовой деятельности, как самозанятость – индивидуальное предпринимательство, крестьянские фермерские хозяйства, личные подсобные хозяйства.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Численность занятых у субъектов малого и среднего предпринимательства по итогам 2023 года составляет 6634 человека, что на  18,7 % выше, чем по итогам 2022 года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5587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человек). Доля занятых в малом бизнесе от занят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ых в экономике составляет 55 %.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rPr>
          <w:color w:val="000000" w:themeColor="text1"/>
          <w14:ligatures w14:val="none"/>
        </w:rPr>
      </w:pPr>
      <w:r>
        <w:rPr>
          <w:color w:val="000000" w:themeColor="text1"/>
          <w14:ligatures w14:val="none"/>
        </w:rPr>
      </w:r>
      <w:r>
        <w:rPr>
          <w:color w:val="000000" w:themeColor="text1"/>
          <w14:ligatures w14:val="none"/>
        </w:rPr>
      </w:r>
      <w:r>
        <w:rPr>
          <w:color w:val="000000" w:themeColor="text1"/>
          <w14:ligatures w14:val="none"/>
        </w:rPr>
      </w:r>
    </w:p>
    <w:p>
      <w:pPr>
        <w:ind w:left="0" w:right="0" w:firstLine="0"/>
        <w:jc w:val="both"/>
        <w:rPr>
          <w:color w:val="000000" w:themeColor="text1"/>
          <w14:ligatures w14:val="none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22050" cy="3499744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37024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6422049" cy="349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05.67pt;height:275.57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color w:val="000000" w:themeColor="text1"/>
          <w14:ligatures w14:val="none"/>
        </w:rPr>
      </w:r>
      <w:r>
        <w:rPr>
          <w:color w:val="000000" w:themeColor="text1"/>
          <w14:ligatures w14:val="none"/>
        </w:rPr>
      </w:r>
    </w:p>
    <w:p>
      <w:pPr>
        <w:ind w:firstLine="426"/>
        <w:jc w:val="both"/>
        <w:rPr>
          <w:color w:val="000000" w:themeColor="text1"/>
          <w:highlight w:val="none"/>
          <w14:ligatures w14:val="none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  <w:highlight w:val="none"/>
          <w14:ligatures w14:val="none"/>
        </w:rPr>
      </w:r>
      <w:r>
        <w:rPr>
          <w:color w:val="000000" w:themeColor="text1"/>
          <w:highlight w:val="none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Предпринимателями района активно используются все виды поддержки – информационная, финансовая, имущественная.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Основная и наиболее востребованная и эффективная мера поддержки – это финансовая, реализуемая путем субсидирования субъектов малого и среднего предпринимательства.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Данный вид поддержки является одним из самых действенных механизмов поддержки малого и среднего бизнеса, который направл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ен на решение проблем, связанных с недостатком финансовых средств на создание и развитие бизнеса.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Сланцевский район традиционно на протяжении многих лет является лидером среди районов Ленинградской области по сумме привлекаемых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средств из областного бюджета для оказания финансовой поддержки субъектам малого и среднего предпринимательства.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 2019 года субсидии получили 99 субъектов предпринимательской деятельности на общую сумму 63 млн. руб. За этот период создано 164 рабочих места.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rPr>
          <w:color w:val="000000" w:themeColor="text1"/>
          <w14:ligatures w14:val="none"/>
        </w:rPr>
      </w:pPr>
      <w:r>
        <w:rPr>
          <w:color w:val="000000" w:themeColor="text1"/>
          <w14:ligatures w14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809150" behindDoc="0" locked="0" layoutInCell="1" allowOverlap="1">
                <wp:simplePos x="0" y="0"/>
                <wp:positionH relativeFrom="column">
                  <wp:posOffset>595460</wp:posOffset>
                </wp:positionH>
                <wp:positionV relativeFrom="paragraph">
                  <wp:posOffset>184999</wp:posOffset>
                </wp:positionV>
                <wp:extent cx="4567895" cy="2398339"/>
                <wp:effectExtent l="0" t="0" r="0" b="0"/>
                <wp:wrapTopAndBottom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98222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4567894" cy="2398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501809150;o:allowoverlap:true;o:allowincell:true;mso-position-horizontal-relative:text;margin-left:46.89pt;mso-position-horizontal:absolute;mso-position-vertical-relative:text;margin-top:14.57pt;mso-position-vertical:absolute;width:359.68pt;height:188.85pt;mso-wrap-distance-left:9.07pt;mso-wrap-distance-top:0.00pt;mso-wrap-distance-right:9.07pt;mso-wrap-distance-bottom:0.00pt;" stroked="false">
                <v:path textboxrect="0,0,0,0"/>
                <w10:wrap type="topAndBottom"/>
                <v:imagedata r:id="rId17" o:title=""/>
              </v:shape>
            </w:pict>
          </mc:Fallback>
        </mc:AlternateContent>
      </w:r>
      <w:r>
        <w:rPr>
          <w:color w:val="000000" w:themeColor="text1"/>
          <w14:ligatures w14:val="none"/>
        </w:rPr>
      </w:r>
      <w:r>
        <w:rPr>
          <w:color w:val="000000" w:themeColor="text1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Финансовая поддержка компенсировала затраты субъектов малого и среднего предпринимательства на приобретение производственного и профессионального обор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удования, грузовых и пассажирских автотранспортных средств.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Кроме того, в 2023 году предоставлены субсидии субъектам социального пре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принимательства для компенсации части затрат, связанных с приобретением оборудования. Поддержку за счет средств бюджета района получили 3 субъекта малого предпринимательства на общую сумму 40,0 тыс.руб.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 территории района успешно раб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отает Фонд поддержки малого и среднего предпринимательства «Социально-деловой центр», который оказывает информационную, консультационную поддержку, проводит курсы «Введение в предпринимательство». По завершении курсов 40% обучившихся открывают свой бизнес.</w:t>
      </w:r>
      <w:r>
        <w:rPr>
          <w:rFonts w:ascii="Times New Roman" w:hAnsi="Times New Roman" w:eastAsia="Times New Roman" w:cs="Times New Roman" w:eastAsiaTheme="minorHAnsi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Предприниматели Сланцевского района принимают активное участие в областных и районных мероприятиях.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c00000"/>
          <w:sz w:val="24"/>
          <w:szCs w:val="24"/>
          <w:highlight w:val="none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58"/>
        <w:numPr>
          <w:ilvl w:val="0"/>
          <w:numId w:val="9"/>
        </w:numPr>
        <w:ind w:left="0" w:firstLine="426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color w:val="000000" w:themeColor="text1"/>
          <w:sz w:val="24"/>
          <w:szCs w:val="24"/>
          <w:lang w:val="ru-RU"/>
        </w:rPr>
        <w:t xml:space="preserve">д</w:t>
      </w:r>
      <w:r>
        <w:rPr>
          <w:rFonts w:ascii="Times New Roman" w:hAnsi="Times New Roman" w:eastAsia="Times New Roman" w:cs="Times New Roman"/>
          <w:b/>
          <w:bCs/>
          <w:i/>
          <w:color w:val="000000" w:themeColor="text1"/>
          <w:sz w:val="24"/>
          <w:szCs w:val="24"/>
        </w:rPr>
        <w:t xml:space="preserve">) </w:t>
      </w:r>
      <w:r>
        <w:rPr>
          <w:rFonts w:ascii="Times New Roman" w:hAnsi="Times New Roman" w:eastAsia="Times New Roman" w:cs="Times New Roman"/>
          <w:b/>
          <w:bCs/>
          <w:i/>
          <w:color w:val="000000" w:themeColor="text1"/>
          <w:sz w:val="24"/>
          <w:szCs w:val="24"/>
        </w:rPr>
        <w:t xml:space="preserve">Жилищно-коммунальное хозяйст</w:t>
      </w:r>
      <w:r>
        <w:rPr>
          <w:rFonts w:ascii="Times New Roman" w:hAnsi="Times New Roman" w:eastAsia="Times New Roman" w:cs="Times New Roman"/>
          <w:b/>
          <w:bCs/>
          <w:i/>
          <w:color w:val="000000" w:themeColor="text1"/>
          <w:sz w:val="24"/>
          <w:szCs w:val="24"/>
          <w:lang w:val="ru-RU"/>
        </w:rPr>
        <w:t xml:space="preserve">во.</w:t>
      </w:r>
      <w:r>
        <w:rPr>
          <w:rFonts w:ascii="Times New Roman" w:hAnsi="Times New Roman" w:eastAsia="Times New Roman" w:cs="Times New Roman"/>
          <w:b/>
          <w:bCs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r>
    </w:p>
    <w:p>
      <w:pPr>
        <w:pStyle w:val="958"/>
        <w:numPr>
          <w:ilvl w:val="0"/>
          <w:numId w:val="9"/>
        </w:numPr>
        <w:ind w:left="0" w:firstLine="426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r>
    </w:p>
    <w:p>
      <w:pPr>
        <w:pStyle w:val="958"/>
        <w:numPr>
          <w:ilvl w:val="0"/>
          <w:numId w:val="9"/>
        </w:numPr>
        <w:ind w:left="0" w:firstLine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  <w:t xml:space="preserve">Благоустройство территории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5583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Для повышения уровня благоустройства и создания комфортных условий проживания населения,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начиная с 2017 года,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администрация Сланцевского района принимает активное участие в национальном проекте «Жилье и городская среда» Федерального проекта «Формирование комфортной городской среды».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firstLine="426"/>
        <w:jc w:val="both"/>
        <w:tabs>
          <w:tab w:val="left" w:pos="5583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За период действия программы на территории Сланцевского муниципального района благ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оустроено 8 общественных и 27 дворовых территорий.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Жители города принимают активное участие в реализации проекта, участвуют в голосованиях, помогают в проведении субботников, также при участии жителей проходят акции по высадке деревьев и кустарников на благоустроенных территориях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tabs>
          <w:tab w:val="left" w:pos="5583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2024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году в рамках приоритетного проекта «Формирование комфортной городской среды» одобрена заявка и выделены средства на благоустройство общественной территории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«Спортивный бульвар» Вдоль дома 16 по ул.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Грибоедова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до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ФОК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и дворовой территория по улице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М.Горького, д.7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pStyle w:val="958"/>
        <w:numPr>
          <w:ilvl w:val="0"/>
          <w:numId w:val="9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  <w:t xml:space="preserve">Дорожная деятельность и безопасность дорожного движения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u w:val="singl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r>
    </w:p>
    <w:p>
      <w:pPr>
        <w:ind w:firstLine="426"/>
        <w:jc w:val="both"/>
        <w:tabs>
          <w:tab w:val="clear" w:pos="0" w:leader="none"/>
          <w:tab w:val="left" w:pos="5583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Содержание и текущий ремонт автомобильных дорог общего пользования местного значения Сланцевского городского поселения осуществля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ется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за счет средств местного бюджета в рамках исполнения муниципальных контрактов по содержанию территории общего пользования Сланцевского городского поселения.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Произв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одятся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работы по установке дорожных знаков постоянной дислокации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, 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анесен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ию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горизонт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альн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ой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дорожн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ой разметки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работы по обустройству пешеходн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переход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на автомобильн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дорог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ах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общего пользования местного значения.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tabs>
          <w:tab w:val="left" w:pos="5583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В целях обеспечения бесперебойного электроснабжения, а также безопасности движения пешеходов и транспортных средств провод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ятся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 работы по сносу и формовочной обрезке деревьев, расположенных вдоль автомобильных дорог общего пользования местного значения. С целью улучшения транспортного обслуживания населения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производится ремонт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 остановочных площадок с установкой павильонов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ыполн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яются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 работы по обустройству искусственного освещения участков автомобильных дорог общего пользования местного значения и отсыпке щебнем участк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 автомобильн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:lang w:eastAsia="ru-RU"/>
        </w:rPr>
        <w:t xml:space="preserve"> дорог.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tabs>
          <w:tab w:val="left" w:pos="5583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За последние 5 лет выполнен ремонт 138 участков автомобильных дорог общего пользования местного значения</w:t>
      </w:r>
      <w:bookmarkStart w:id="0" w:name="undefined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bookmarkEnd w:id="0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tabs>
          <w:tab w:val="left" w:pos="5583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Отремонтировано 130 тыс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яч квадратных метров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дорог с асфальтобетонным покрытием и 87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тысяч квадратных метров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  <w:t xml:space="preserve"> щебеночным основанием.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58"/>
        <w:numPr>
          <w:ilvl w:val="0"/>
          <w:numId w:val="9"/>
        </w:numPr>
        <w:ind w:left="0" w:firstLine="426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  <w:t xml:space="preserve">Капитальный ремонт многоквартирных домов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r>
    </w:p>
    <w:p>
      <w:pPr>
        <w:pStyle w:val="984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П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 всем многоквартирным домам, расположенным на территории Сланцевского муниципального района, определен способ управления.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 2014 года действует региональная программа капитального ремонта общего имущес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ва в многоквартирных домах, расположенных на территории Ленинградской области.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Ф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нансирование данных работ осуществля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ется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за счет средств собственников помещений в многоквартирных домах, формирующих фонды капитального ремонта на счете Региональн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го оператора.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За последние 5 лет (с 2019 года по 2023 год) было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проведено 179 видов работ в 139 многоквартирных дома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2024 и 2025 годах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 запланировано проведение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285 видов работ в 251 многоквартирном доме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  <w14:ligatures w14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ligatures w14:val="none"/>
        </w:rPr>
      </w:r>
    </w:p>
    <w:p>
      <w:pPr>
        <w:numPr>
          <w:ilvl w:val="0"/>
          <w:numId w:val="19"/>
        </w:numPr>
        <w:ind w:left="0" w:firstLine="426"/>
        <w:jc w:val="both"/>
        <w:widowControl w:val="off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jc w:val="both"/>
        <w:widowControl w:val="off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03"/>
        <w:numPr>
          <w:ilvl w:val="1"/>
          <w:numId w:val="1"/>
        </w:numPr>
        <w:ind w:left="0" w:firstLine="426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Инвестиции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03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76"/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Одной из важнейших задач является повышение инвестиционной привлекательности Сланцевского района, создание условий для привлечения частных инвестиций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 и создания новых производств и рабочих мест, рост доходов и повышение благосостояния населения.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Style w:val="976"/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В настоящее время крупные инвестиционные проекты завершены, а новые пока находя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ся на стадии проектирования.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В 2008 году было закончено строительство завода по производству газобетона - ЗАО «ЕвроАэроБетон».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С 2016 года реализуется проект по строительству завода по переработке аккумуляторных батарей ООО «Экорусметалл».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 2016 года продолжает реализацию инвестиционный проект ООО «Инновационные технологии»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 производству легких, трудногорючих композитных материалов для транспортной и кораблестроительной отраслей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В 2017 году завершено строительство нового завода  по производству цемента ООО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Цемент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 (ООО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Петербургцемент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 с 26.02.2015).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В 2018 году состоялось открытие нового высокотехнологичного сельскохозяйственного предприятия ООО «Крафт».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zh-CN" w:bidi="hi-IN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 2018 года реализуется проект по производству резиновой обуви ООО «БТР-С» на производственной площадке ООО «СЛАНЦЫ».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76"/>
        <w:ind w:left="0"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Несмотря на действующие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санкционные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 ограничения и проведение Специальной военной операции, предприятия продолжают реализовывать инвестиционные проекты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, в 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оответствии с которыми предусматриваются значительные объемы инвестиций в реконструкцию и модернизацию производств. </w:t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bidi="hi-IN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03"/>
        <w:ind w:firstLine="709"/>
        <w:jc w:val="both"/>
        <w:pageBreakBefore/>
        <w:tabs>
          <w:tab w:val="left" w:pos="0" w:leader="none"/>
        </w:tabs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bidi="hi-IN"/>
        </w:rPr>
        <w:t xml:space="preserve">Инвестиционные проекты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tbl>
      <w:tblPr>
        <w:tblW w:w="9654" w:type="dxa"/>
        <w:tblInd w:w="9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2850"/>
        <w:gridCol w:w="1843"/>
        <w:gridCol w:w="1701"/>
        <w:gridCol w:w="851"/>
        <w:gridCol w:w="2409"/>
      </w:tblGrid>
      <w:tr>
        <w:tblPrEx/>
        <w:trPr>
          <w:trHeight w:val="926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pStyle w:val="9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Название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9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Инвестор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Место реализации проекта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9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Срок реализации год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409" w:type="dxa"/>
            <w:vAlign w:val="center"/>
            <w:textDirection w:val="lrTb"/>
            <w:noWrap w:val="false"/>
          </w:tcPr>
          <w:p>
            <w:pPr>
              <w:pStyle w:val="9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Характеристики (объемы) производства (услуг)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04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Улучшение матерально-технической базы предприятия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запуск рафинировочной печи,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запуск линии по производству лигатур,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повышение энергоэффективности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 w:bidi="hi-IN"/>
              </w:rPr>
              <w:t xml:space="preserve">ООО «Эк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 w:bidi="hi-I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 w:bidi="hi-IN"/>
              </w:rPr>
              <w:t xml:space="preserve">русметалл»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Сланцевский район, г. Сла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цы, Сланцевское шоссе, д. 30А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2021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-2025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409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Повышение характеристик производства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859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Модернизация молочн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о-товарной фермы на 1000 коров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ЗАО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Ос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ь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минское»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Сланцевский район, д. Зам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шье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2023 - 2024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409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8,2 тыс. тонн молока в год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</w:tr>
      <w:tr>
        <w:tblPrEx/>
        <w:trPr>
          <w:trHeight w:val="1443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Производство легких, трудногорючих комп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зитных материалов для транспортной и корабл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строительной отраслей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ООО «Инн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вационные технологии»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Сланцевский район, г. Сла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цы, ул. Зав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дская, д. 1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2016 - 202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409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Производство  52 млн м2 готовой продукции в год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</w:tr>
      <w:tr>
        <w:tblPrEx/>
        <w:trPr>
          <w:trHeight w:val="1205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Улучшение матерально-технической базы предприятия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(реконструкция мест хр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нения сырья,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локальная электрогенерация - вторая очередь,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модернизация участка помола цемента,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замена фильтров сырьевых мельниц,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модернизация сушильного отделения,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замена погрузочного и лабораторного оборудования,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реконструкция инженерных сетей,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реконструкция инженерных сетей)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ОАО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Сла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цевский ц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е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ментный з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вод 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Це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ла»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Сланцевский район,  г.Сланцы, Ки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н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гисеппское шо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се, д.1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2018 - 202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409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Повышение характеристик производства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102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850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c00000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 w:bidi="hi-IN"/>
              </w:rPr>
              <w:t xml:space="preserve">Улучшение матерально-технической базы предприятия</w:t>
            </w:r>
            <w:r>
              <w:rPr>
                <w:rFonts w:ascii="Times New Roman" w:hAnsi="Times New Roman" w:eastAsia="Times New Roman" w:cs="Times New Roman"/>
                <w:color w:val="c00000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строительство фермы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ремонт подъездных дорог,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строительство комплекса по первичной и вторичной переработке сельскохозяйственной продукции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реконструкция теплицы,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ремонт подъездных дорог и др.) 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843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ООО «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Крафт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  <w:lang w:eastAsia="ru-RU" w:bidi="hi-IN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Сланцевский район, д.Савиновщина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highlight w:val="none"/>
              </w:rPr>
            </w:r>
          </w:p>
          <w:p>
            <w:pPr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highlight w:val="none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 д.Каино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2019 - 2025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2409" w:type="dxa"/>
            <w:vAlign w:val="center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  <w:lang w:eastAsia="ru-RU" w:bidi="hi-IN"/>
              </w:rPr>
              <w:t xml:space="preserve">Расширение и повышение характеристик производства</w:t>
            </w:r>
            <w:r>
              <w:rPr>
                <w:rFonts w:ascii="Times New Roman" w:hAnsi="Times New Roman" w:eastAsia="Times New Roman" w:cs="Times New Roman"/>
                <w:color w:val="auto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</w:r>
          </w:p>
        </w:tc>
      </w:tr>
    </w:tbl>
    <w:p>
      <w:pPr>
        <w:pStyle w:val="903"/>
        <w:ind w:firstLine="709"/>
        <w:jc w:val="both"/>
        <w:tabs>
          <w:tab w:val="left" w:pos="0" w:leader="none"/>
        </w:tabs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en-US" w:bidi="hi-IN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</w:r>
      <w:r>
        <w:rPr>
          <w:rFonts w:ascii="Times New Roman" w:hAnsi="Times New Roman" w:cs="Times New Roman"/>
          <w:color w:val="auto"/>
          <w:sz w:val="24"/>
          <w:szCs w:val="24"/>
        </w:rPr>
      </w:r>
    </w:p>
    <w:p>
      <w:pPr>
        <w:pStyle w:val="903"/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auto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ru-RU" w:bidi="hi-IN"/>
        </w:rPr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Предприятиями и организациями всех видов экономической деятельности за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202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3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auto"/>
          <w:sz w:val="24"/>
          <w:szCs w:val="24"/>
        </w:rPr>
        <w:t xml:space="preserve">инвестировано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в экономику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1297,0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млн. руб., что на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12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% 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меньше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, чем за аналогичный период 20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22</w:t>
      </w:r>
      <w:r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года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en-US" w:bidi="hi-IN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highlight w:val="none"/>
          <w:lang w:val="en-US" w:eastAsia="en-US" w:bidi="hi-IN"/>
        </w:rPr>
      </w:r>
      <w:r>
        <w:rPr>
          <w:rFonts w:ascii="Times New Roman" w:hAnsi="Times New Roman" w:cs="Times New Roman"/>
          <w:color w:val="auto"/>
          <w:sz w:val="24"/>
          <w:szCs w:val="24"/>
          <w:highlight w:val="none"/>
        </w:rPr>
      </w:r>
    </w:p>
    <w:p>
      <w:pPr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highlight w:val="none"/>
          <w:lang w:val="en-US" w:eastAsia="en-US" w:bidi="hi-IN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ind w:left="0" w:right="0" w:firstLine="0"/>
        <w:jc w:val="center"/>
        <w:tabs>
          <w:tab w:val="left" w:pos="0" w:leader="none"/>
        </w:tabs>
        <w:rPr>
          <w:rFonts w:eastAsia="Andale Sans UI"/>
          <w:color w:val="c00000"/>
          <w:highlight w:val="none"/>
          <w:lang w:val="en-US" w:eastAsia="en-US" w:bidi="hi-IN"/>
        </w:rPr>
      </w:pPr>
      <w:r>
        <w:rPr>
          <w:rFonts w:eastAsia="Andale Sans UI"/>
          <w:color w:val="c00000"/>
          <w:highlight w:val="none"/>
          <w:lang w:val="en-US" w:eastAsia="en-US" w:bidi="hi-IN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10050" cy="191271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08144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4210049" cy="1912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31.50pt;height:150.61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eastAsia="Andale Sans UI"/>
          <w:color w:val="c00000"/>
          <w:highlight w:val="none"/>
          <w:lang w:val="en-US" w:eastAsia="en-US" w:bidi="hi-IN"/>
        </w:rPr>
      </w:r>
      <w:r>
        <w:rPr>
          <w:rFonts w:eastAsia="Andale Sans UI"/>
          <w:color w:val="c00000"/>
          <w:highlight w:val="none"/>
          <w:lang w:val="en-US" w:eastAsia="en-US" w:bidi="hi-IN"/>
        </w:rPr>
      </w:r>
    </w:p>
    <w:p>
      <w:pPr>
        <w:ind w:firstLine="426"/>
        <w:jc w:val="both"/>
        <w:tabs>
          <w:tab w:val="left" w:pos="0" w:leader="none"/>
        </w:tabs>
        <w:rPr>
          <w:rFonts w:eastAsia="Andale Sans UI"/>
          <w:color w:val="c00000"/>
          <w:highlight w:val="none"/>
          <w:lang w:val="en-US" w:eastAsia="en-US" w:bidi="hi-IN"/>
        </w:rPr>
      </w:pPr>
      <w:r>
        <w:rPr>
          <w:rFonts w:eastAsia="Andale Sans UI"/>
          <w:color w:val="c00000"/>
          <w:highlight w:val="none"/>
          <w:lang w:val="en-US" w:eastAsia="en-US" w:bidi="hi-IN"/>
        </w:rPr>
      </w:r>
      <w:r>
        <w:rPr>
          <w:rFonts w:eastAsia="Andale Sans UI"/>
          <w:color w:val="c00000"/>
          <w:highlight w:val="none"/>
          <w:lang w:val="en-US" w:eastAsia="en-US" w:bidi="hi-IN"/>
        </w:rPr>
      </w:r>
      <w:r>
        <w:rPr>
          <w:rFonts w:eastAsia="Andale Sans UI"/>
          <w:color w:val="c00000"/>
          <w:highlight w:val="none"/>
          <w:lang w:val="en-US" w:eastAsia="en-US" w:bidi="hi-IN"/>
        </w:rPr>
      </w:r>
    </w:p>
    <w:p>
      <w:pPr>
        <w:ind w:firstLine="426"/>
        <w:jc w:val="both"/>
        <w:tabs>
          <w:tab w:val="left" w:pos="0" w:leader="none"/>
        </w:tabs>
        <w:rPr>
          <w:rFonts w:eastAsia="Andale Sans UI"/>
          <w:color w:val="c00000"/>
          <w:highlight w:val="none"/>
          <w:lang w:val="en-US" w:eastAsia="en-US" w:bidi="hi-IN"/>
        </w:rPr>
      </w:pPr>
      <w:r>
        <w:rPr>
          <w:rFonts w:eastAsia="Andale Sans UI"/>
          <w:color w:val="c00000"/>
          <w:highlight w:val="none"/>
          <w:lang w:val="en-US" w:eastAsia="en-US" w:bidi="hi-IN"/>
        </w:rPr>
      </w:r>
      <w:r>
        <w:rPr>
          <w:rFonts w:eastAsia="Andale Sans UI"/>
          <w:color w:val="c00000"/>
          <w:highlight w:val="none"/>
          <w:lang w:val="en-US" w:eastAsia="en-US" w:bidi="hi-IN"/>
        </w:rPr>
      </w:r>
      <w:r>
        <w:rPr>
          <w:rFonts w:eastAsia="Andale Sans UI"/>
          <w:color w:val="c00000"/>
          <w:highlight w:val="none"/>
          <w:lang w:val="en-US" w:eastAsia="en-US" w:bidi="hi-IN"/>
        </w:rPr>
      </w:r>
    </w:p>
    <w:p>
      <w:pPr>
        <w:ind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auto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en-US" w:bidi="hi-IN"/>
        </w:rPr>
        <w:t xml:space="preserve">Предприятиями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en-US" w:bidi="hi-IN"/>
        </w:rPr>
        <w:t xml:space="preserve">промышленных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en-US" w:bidi="hi-IN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 w:eastAsia="en-US" w:bidi="hi-IN"/>
        </w:rPr>
        <w:t xml:space="preserve">производств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 w:eastAsia="en-US" w:bidi="hi-IN"/>
        </w:rPr>
        <w:t xml:space="preserve">за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en-US" w:bidi="hi-IN"/>
        </w:rPr>
        <w:t xml:space="preserve">20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en-US" w:bidi="hi-IN"/>
        </w:rPr>
        <w:t xml:space="preserve">2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en-US" w:bidi="hi-IN"/>
        </w:rPr>
        <w:t xml:space="preserve">3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 w:eastAsia="en-US" w:bidi="hi-IN"/>
        </w:rPr>
        <w:t xml:space="preserve"> год инвестировано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en-US" w:bidi="hi-IN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en-US" w:bidi="hi-IN"/>
        </w:rPr>
        <w:t xml:space="preserve">953,9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en-US" w:bidi="hi-IN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 w:eastAsia="en-US" w:bidi="hi-IN"/>
        </w:rPr>
        <w:t xml:space="preserve">млн. руб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 w:eastAsia="en-US" w:bidi="hi-IN"/>
        </w:rPr>
        <w:t xml:space="preserve">., что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/>
        </w:rPr>
        <w:t xml:space="preserve">соответствует уровню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en-US" w:bidi="hi-IN"/>
        </w:rPr>
        <w:t xml:space="preserve"> прошлого года (за 2022 - 951,6 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 w:eastAsia="en-US" w:bidi="hi-IN"/>
        </w:rPr>
        <w:t xml:space="preserve">млн. руб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ru-RU" w:eastAsia="en-US" w:bidi="hi-IN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eastAsia="en-US" w:bidi="hi-IN"/>
        </w:rPr>
        <w:t xml:space="preserve">)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:lang w:val="en-US" w:eastAsia="en-US" w:bidi="hi-IN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auto"/>
          <w:sz w:val="24"/>
          <w:szCs w:val="24"/>
          <w14:ligatures w14:val="none"/>
        </w:rPr>
      </w:r>
    </w:p>
    <w:p>
      <w:pPr>
        <w:pStyle w:val="976"/>
        <w:numPr>
          <w:ilvl w:val="0"/>
          <w:numId w:val="8"/>
        </w:numPr>
        <w:ind w:left="0"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76"/>
        <w:numPr>
          <w:ilvl w:val="0"/>
          <w:numId w:val="8"/>
        </w:numPr>
        <w:ind w:left="0"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В интегрированной региональной 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нформационной системе «Инвестиционное развитие территории Ленинградской области» размещены сведения о промышленных площадках, которые предлагает Сланцевский муниципального район для размещения производств и ведения предпринимательской деятельности. Действу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ю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bidi="hi-IN"/>
        </w:rPr>
        <w:t xml:space="preserve">т «МФЦ для бизнеса», Фонд поддержки малого и среднего предпринимательства «Социально-деловой центр», оказывающие предпринимателям услуги, связанные с осуществлением их деятельности.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76"/>
        <w:numPr>
          <w:ilvl w:val="0"/>
          <w:numId w:val="8"/>
        </w:numPr>
        <w:ind w:left="0"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Администрация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активно взаимодействует с потенциальными инвесторами, но далеко не всех инвесторов привлекает географическое расположение Сланцевского района в связи со значительной удаленностью от мегаполиса – Санкт-Петербурга и отсутствие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 подготовленных промышленных площадок для организации производств.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US" w:bidi="hi-IN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Имеющиеся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земельные участки не им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еют подготовленной инфраструктуры, что ведет к дополнительным затратам инвесторов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Проблемой привлечения инвесторов является и несоответствие квалификационных требований новых предприятий уровню профессиональн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ой подготовки имеющегося кадрового потенциала. Также играет большую роль отток квалифицированных кадров и молодежи в Санкт-Петербург и в другие районы Ленинградской области и отсутствие на территории города учреждений высшего профессионального образования.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76"/>
        <w:numPr>
          <w:ilvl w:val="0"/>
          <w:numId w:val="8"/>
        </w:numPr>
        <w:ind w:left="0"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</w:rPr>
        <w:t xml:space="preserve">Кроме этого, не все инвесторы имеют достаточно проработанные проекты и необходимые финансовые активы.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76"/>
        <w:numPr>
          <w:ilvl w:val="0"/>
          <w:numId w:val="8"/>
        </w:numPr>
        <w:ind w:left="0"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zh-CN" w:bidi="hi-IN"/>
        </w:rPr>
        <w:t xml:space="preserve">Тем не менее,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zh-CN" w:bidi="hi-IN"/>
        </w:rPr>
        <w:t xml:space="preserve"> приближенность к развивающемуся порту Усть-Луга, дает Сланцевскому району конкурентное преимущество на рынке инвестиций. Планы дальнейшего развития порта включают в себя создание промышленной зоны на близлежащих территориях. Размещение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zh-CN" w:bidi="hi-IN"/>
        </w:rPr>
        <w:t xml:space="preserve"> ряда производств на нашей территории могут быть выгодны как крупным инвесторам, так и жителям Сланцевского района. Для инвестора это своеобразный заряд, который дает возможность увеличивать коэффициент полезной деятельности и, как результат, прибыльность.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bidi="hi-IN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76"/>
        <w:ind w:left="0" w:firstLine="426"/>
        <w:jc w:val="both"/>
        <w:tabs>
          <w:tab w:val="left" w:pos="0" w:leader="none"/>
        </w:tabs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lang w:val="en-US" w:bidi="hi-IN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03"/>
        <w:numPr>
          <w:ilvl w:val="1"/>
          <w:numId w:val="1"/>
        </w:numPr>
        <w:ind w:left="0" w:firstLine="0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Трудовые р</w:t>
      </w: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сурсы</w:t>
      </w: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r>
    </w:p>
    <w:p>
      <w:pPr>
        <w:pStyle w:val="90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r>
    </w:p>
    <w:p>
      <w:pPr>
        <w:ind w:firstLine="426"/>
        <w:jc w:val="both"/>
        <w:tabs>
          <w:tab w:val="left" w:pos="567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Из общей численности населения района 44,4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тысячи человек экономически активное населения составляет 22,9 тысячи человек.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При этом в экономике занято 16,1 тысяч человек.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ind w:firstLine="426"/>
        <w:jc w:val="both"/>
      </w:pPr>
      <w:r>
        <w:rPr>
          <w:lang w:eastAsia="ko-KR" w:bidi="hi-IN"/>
        </w:rPr>
        <w:object w:dxaOrig="10260" w:dyaOrig="418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1" o:spid="_x0000_s11" type="#_x0000_t75" style="position:absolute;z-index:251658247;o:allowoverlap:true;o:allowincell:true;mso-position-horizontal-relative:text;margin-left:-18.32pt;mso-position-horizontal:absolute;mso-position-vertical-relative:text;margin-top:2.55pt;mso-position-vertical:absolute;width:513.56pt;height:183.31pt;mso-wrap-distance-left:9.00pt;mso-wrap-distance-top:0.00pt;mso-wrap-distance-right:9.00pt;mso-wrap-distance-bottom:0.00pt;" filled="f" stroked="f">
            <v:path textboxrect="0,0,0,0"/>
            <w10:wrap type="topAndBottom"/>
            <v:imagedata r:id="rId19" o:title=""/>
          </v:shape>
          <o:OLEObject DrawAspect="Content" r:id="rId20" ObjectID="_15250411" ProgID="Excel.Sheet.8" ShapeID="_x0000_i11" Type="Embed"/>
        </w:object>
      </w:r>
      <w:r/>
    </w:p>
    <w:p>
      <w:pPr>
        <w:pStyle w:val="903"/>
        <w:ind w:firstLine="426"/>
        <w:jc w:val="both"/>
      </w:pPr>
      <w:r/>
      <w:r/>
    </w:p>
    <w:p>
      <w:pPr>
        <w:pStyle w:val="903"/>
        <w:ind w:left="0" w:righ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ko-KR" w:bidi="hi-IN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 стабильности в экономике говорит уровень регистрируемой безработицы.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left="0" w:right="0" w:firstLine="425"/>
        <w:jc w:val="both"/>
        <w:rPr>
          <w:rFonts w:ascii="Times New Roman" w:hAnsi="Times New Roman" w:cs="Times New Roman"/>
          <w:color w:val="000000" w:themeColor="text1"/>
          <w:spacing w:val="0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После рекордно высокого уровня безраб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отицы 2020 года (2,12%) удалось стабилизировать ситуацию на рынке труда. Наблюдается ежегодное снижение регистрируемой безработицы, уровень которой сократился более чем в 5 раз по сравнению с 2020 годом и по состоянию на 01 января 2024 года составил 0,38%.</w:t>
      </w:r>
      <w:r>
        <w:rPr>
          <w:rFonts w:ascii="Times New Roman" w:hAnsi="Times New Roman" w:eastAsia="Times New Roman" w:cs="Times New Roman"/>
          <w:color w:val="000000" w:themeColor="text1"/>
          <w:spacing w:val="0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pacing w:val="0"/>
          <w:sz w:val="24"/>
          <w:szCs w:val="24"/>
          <w:highlight w:val="none"/>
          <w14:ligatures w14:val="none"/>
        </w:rPr>
      </w:r>
    </w:p>
    <w:p>
      <w:pPr>
        <w:ind w:firstLine="709"/>
        <w:jc w:val="both"/>
        <w:rPr>
          <w:color w:val="000000" w:themeColor="text1"/>
          <w14:ligatures w14:val="none"/>
        </w:rPr>
      </w:pPr>
      <w:r>
        <w:rPr>
          <w:color w:val="000000" w:themeColor="text1"/>
          <w:highlight w:val="none"/>
        </w:rPr>
      </w:r>
      <w:r>
        <w:rPr>
          <w:color w:val="000000" w:themeColor="text1"/>
          <w14:ligatures w14:val="none"/>
        </w:rPr>
      </w:r>
      <w:r>
        <w:rPr>
          <w:color w:val="000000" w:themeColor="text1"/>
          <w14:ligatures w14:val="none"/>
        </w:rPr>
      </w:r>
    </w:p>
    <w:p>
      <w:pPr>
        <w:ind w:left="0" w:right="0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01817342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0</wp:posOffset>
                </wp:positionV>
                <wp:extent cx="4107012" cy="2015033"/>
                <wp:effectExtent l="0" t="0" r="0" b="0"/>
                <wp:wrapTopAndBottom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71517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flipH="0" flipV="0">
                          <a:off x="0" y="0"/>
                          <a:ext cx="4107012" cy="2015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501817342;o:allowoverlap:true;o:allowincell:true;mso-position-horizontal-relative:text;margin-left:35.45pt;mso-position-horizontal:absolute;mso-position-vertical-relative:text;margin-top:0.00pt;mso-position-vertical:absolute;width:323.39pt;height:158.66pt;mso-wrap-distance-left:9.07pt;mso-wrap-distance-top:0.00pt;mso-wrap-distance-right:9.07pt;mso-wrap-distance-bottom:0.00pt;" stroked="false">
                <v:path textboxrect="0,0,0,0"/>
                <w10:wrap type="topAndBottom"/>
                <v:imagedata r:id="rId2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 01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января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2024 зарегистрировано 88 безработных граждан, количество заявленных работодателями вакансий 511.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Наблюдается растущее расхождение между структурой спроса на рабочую силу и структурой ее предложения: профессиональный уровень многих работников не соответствует новым требованиям, а система образования не в полной мере учитывает запросы рынка труда.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Большинство граждан, которые выходят на рынок труда, практически не востребованы в экономике. Многие ра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тодатели заявляют о малом количестве квалифицированных специалистов. Это касается предприятий и сельского хозяйства. В отраслях торговли, здравоохранения, финансов, промышленности, транспорта и связи, спрос на рабочую силу намного выше, чем ее предложения.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5"/>
        <w:ind w:firstLine="426"/>
        <w:jc w:val="both"/>
        <w:spacing w:before="0" w:after="0"/>
        <w:shd w:val="clear" w:color="auto" w:fill="ffffff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color w:val="c00000"/>
          <w:sz w:val="24"/>
          <w:szCs w:val="24"/>
          <w:lang w:val="ru-RU"/>
        </w:rPr>
      </w:r>
      <w:r>
        <w:rPr>
          <w:rFonts w:ascii="Times New Roman" w:hAnsi="Times New Roman"/>
          <w:color w:val="c00000"/>
          <w:sz w:val="24"/>
          <w:szCs w:val="24"/>
        </w:rPr>
      </w:r>
      <w:r>
        <w:rPr>
          <w:rFonts w:ascii="Times New Roman" w:hAnsi="Times New Roman"/>
          <w:color w:val="c00000"/>
          <w:sz w:val="24"/>
          <w:szCs w:val="24"/>
        </w:rPr>
      </w:r>
    </w:p>
    <w:p>
      <w:pPr>
        <w:pStyle w:val="903"/>
        <w:numPr>
          <w:ilvl w:val="1"/>
          <w:numId w:val="1"/>
        </w:numPr>
        <w:ind w:left="0" w:firstLine="426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Транспорт и связь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03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Существующая сеть автомобильных дорог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муниципа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льного и регионального значения в Сланцевского муниципального района, как часть транспортной сети Ленинградской области, сформировалась исторически под влиянием геополитического положения региона, особе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ностей расселения населения, размещения и развития производительных сил и представляет собой радиально-кольцевую систему с центром в Санкт-Петербурге. По результатам оценки современного состояния можно сделать вывод, что Сланцевский муниципальный район им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ет средний уровень развития сети автомобильных дорог общего пользования. Состояние 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тодорог общего пользования регионального и местного значения не соответствует совреме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ным требованиям.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Через г. Сланцы ежедневно проходят транзитные автобусные маршруты  в направлениях: Пск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ов – Гдов – Сланцы – Кингисепп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– Санкт-Петербург и обратно и Санкт-Петербург – Кингисепп – Сланцы – Гдов - Псков и обратно.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Основные грузовые перевозки осуществляются по автомобильной дороге регионал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ного значения Псков – Гдов – Сланцы – Кингисепп – Краколье и ориентированы прежде вс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го на связь с городами Кингисепп и Санкт-Петербург. Грузовые перевозки осуществляются пре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приятиями с помощью собственного автомобильного транспорта предприятий и организ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ций, а также грузового транспорта, принадлежащего индивидуальным предпринимателям.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настоящее время, на территории Сланцевского муниципального района, сложилась 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туация, когда большинство автомобильных дорог общего пользования регионального и 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стного значения находятся в неудовлетворительном состоянии. Наиболее актуальными пр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блемами дорожного хозяйства на территории Сланцевского муниципального района являю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ся: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– несоответствие технических параметров и уровня инженерного оснащения регионал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ных автомобильных дорог современным требованиям;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– прохождение региональных дорог через населенные пункты, что отрицательно сказ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вается на условиях и безопасности дорожного движения, создающее значительные социал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ные и экологические проблемы, а также снижающее привлекательность автодорожных ма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шрутов для транзитных перевозок;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– отсутствие усовершенствованного покрытия на региональных и местных автомобил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ных дорогах общего пользования затрудняющее круглогодичный проезд транспорта.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Общая протяженность дорог в Сланцевском муниципальном районе составляет 691,7 километра, в том числе: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- дороги регионального значения, общей протяженностью – 441 километр;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- дороги муниципального района, общей протяженностью – 18,3 километра;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- дороги Сланцевского городского поселения, общей протяженностью – 96,2 километра;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- дороги сельских поселений, общей протяженностью – 136,2 километра.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За содержание дорог Регионального значения отвечает ГП «Волосовское ДРСУ» в рамках государственного контракта, заключенного с ГКУ «Ленавтодор».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За содержание дорог Сланцевского городского поселения отвечает ООО «ДОРРОС» в рамках муниципального контракта, заключенного с администрацией Сланцевского муниципального района.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За содержание дорог, расположенных в границах сельских поселений, отвечают соответствующие поселения.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ежедневном режиме обслуживающими организациями осуществляется поддержание дорог в нормативном состоянии, но только текущего содержания не достаточно и требуется капитальный ремонт дорог.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widowControl w:val="off"/>
        <w:tabs>
          <w:tab w:val="left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Ремонт дорог – это всегда затратные работы, которые требуют значительного финансирования, однако в связи с тем, что  бюджет является дефицитным, выполнить весь комплекс работ за счет средств бюджета невозможно.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Поэтому 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дним из основных источников финансирования является субсидия за счет средств дорожного фонда Ленинградской области. Ежегодно администрацией формируются и подаются заявки на предоставление субсидий.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За последние 5 лет выполнен ремонт 138 участков автомобильных дорог общего пользования местного значения</w:t>
      </w:r>
      <w:bookmarkStart w:id="0" w:name="_GoBack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bookmarkEnd w:id="0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Отремонтировано 130 тыс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яч квадратных метров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дорог с асфальтобетонным покрытием и 87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тысяч квадратных метров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щебеночным основанием. </w:t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Железнодорожная сеть Ленинградской области находится в ведении филиала ОАО «Ро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сийские железные дороги» Октябрьская железная дорога». По территории Сланцевского 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ниципального района проходит не электрифицированная однопутная железнодорожная 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ния Санкт-Петербург – Веймарн – Сланцы.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 2012 года по территории района проходит только один пассажирский железнодоро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ж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ный маршрут: пригородный дизель-электропоезд Санкт-Петербург  – Сланцы – Санкт-Петербург. 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yellow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Объёмы пассажирских железнодорожных перевозок в муниципальном районе незнач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тельные, поскольку основные перевозки осуществляются автомобильным транспортом.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34"/>
        <w:numPr>
          <w:ilvl w:val="1"/>
          <w:numId w:val="1"/>
        </w:numPr>
        <w:ind w:left="0" w:firstLine="426"/>
        <w:jc w:val="center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 xml:space="preserve">Электроснабжение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34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Производственную деятельность на территории Сланцевского муниципального района осуществляют электросетевые компании: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филиал АО «ЛОЭСК» «Западные электрические сети», ПАО «Ленэнерго»,  АО «ПСК», ООО «РКС-энерго» Кингисеппское отделение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ind w:firstLine="426"/>
        <w:jc w:val="both"/>
        <w:spacing w:before="0" w:beforeAutospacing="0" w:after="0" w:afterAutospacing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ar-SA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34"/>
        <w:numPr>
          <w:ilvl w:val="1"/>
          <w:numId w:val="1"/>
        </w:numPr>
        <w:ind w:left="0" w:firstLine="426"/>
        <w:jc w:val="center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 xml:space="preserve">Водоснабжение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 xml:space="preserve">Водоотведение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34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c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c00000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Для водоснабжения района используется поверхностные воды р. Плюсса (мощность водозабора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en-US"/>
        </w:rPr>
        <w:t xml:space="preserve">50,00 куб. м/сутки) и подземные воды артезианских скважин (общей мощностью 5,67 тыс. куб. м/сутки). Мощность всех водопроводов и водозаборов составляет 55,67 тыс. куб. м/сутки, фактически используется мощность водозаборов на 21% (11,88 тыс. куб. м/сутки).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Для очистки канализационных стоков используются КОС  дер. Большие поля,  КОС ООО «Сланцы»,  КОС дер. Выскатка,  КОС дер. Овсище КОС 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ер. Старополье.  (14,65 тыс. куб. м/сутки). Фактический пропуск сточных вод составляет 7,6 млн. куб. м, в том числе через очистные сооружения – 5,35 млн. куб. м. Протяженность канализационных сетей – 88,78 км. Большая часть сетей нуждается в реконструкции.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 2016 года услуги в сфере водоснабжения, водоотведения на территории Сланцевского муниципального района осуществляет ГУП «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Леноблводоканал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За 5 лет предприятием выполн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ены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следующие мероприятия по ремонту объектов водоснабжения и водоотведения: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Установлена и подключена станция водоподготовки в д.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Выскатка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и д.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Овсище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Отремонтировано более 4 км участков водопроводной сети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более 2 км канализационного самотечного коллектора;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Проведен ремонт блока фильтров на территории водоочистных сооружений.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34"/>
        <w:ind w:firstLine="426"/>
        <w:jc w:val="both"/>
        <w:spacing w:before="0" w:beforeAutospacing="0" w:after="0" w:afterAutospacing="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34"/>
        <w:ind w:firstLine="426"/>
        <w:jc w:val="both"/>
        <w:spacing w:before="0" w:beforeAutospacing="0" w:after="0" w:afterAutospacing="0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c00000"/>
          <w:sz w:val="24"/>
          <w:szCs w:val="24"/>
          <w:lang w:val="ru-RU"/>
        </w:rPr>
      </w:r>
      <w:r>
        <w:rPr>
          <w:rFonts w:ascii="Times New Roman" w:hAnsi="Times New Roman" w:eastAsia="Times New Roman" w:cs="Times New Roman"/>
          <w:color w:val="c00000"/>
          <w:sz w:val="24"/>
          <w:szCs w:val="24"/>
        </w:rPr>
      </w:r>
      <w:r>
        <w:rPr>
          <w:rFonts w:ascii="Times New Roman" w:hAnsi="Times New Roman" w:cs="Times New Roman"/>
          <w:color w:val="c00000"/>
          <w:sz w:val="24"/>
          <w:szCs w:val="24"/>
        </w:rPr>
      </w:r>
    </w:p>
    <w:p>
      <w:pPr>
        <w:pStyle w:val="934"/>
        <w:numPr>
          <w:ilvl w:val="1"/>
          <w:numId w:val="1"/>
        </w:numPr>
        <w:ind w:left="0" w:firstLine="426"/>
        <w:jc w:val="center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 xml:space="preserve">Теплоснабжение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val="ru-RU"/>
        </w:rPr>
        <w:t xml:space="preserve">Газоснабжение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r>
    </w:p>
    <w:p>
      <w:pPr>
        <w:pStyle w:val="934"/>
        <w:spacing w:before="0" w:beforeAutospacing="0" w:after="0" w:afterAutospacing="0"/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c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c00000"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Сланцевском муниципальном районе централизованным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теплоснабжением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обеспечена часть жилых домов и социально значимых объектов города Сланцы и части сельских населенных пунктов.  Теплоснабжение жителей остальных населенных пунктов осуществляется за счет печного отопления и индивидуальных источников теплоснабжения.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состав системы централизованного теплоснабжения потребителей Сланцевского городского поселения входят две теплогенерирующие организации: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Филиал ЗАО «Нева Энергия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 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ООО «СЛАНЦЫ».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В сельских поселениях района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услуги предоставляют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ООО «Коммун Энерго»,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АО «Газпромтеплоэнерго»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ООО «Акватерм»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муниципальные котельные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Проблемой остает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ся высокий износ тепловых сетей.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еобходима реконструкция ветхих тепловых сетей.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Для повышения качества предоставления коммунальных услуг горячего водоснабжения и теплоснабжения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ежегодно проводятся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 работы по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объектам: замена участка тепловой сети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ремонт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котельных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none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Филиалом АО «Нева Энергия» за прошедшие 5 лет на территории города выполнена замена тепловых сетей протяженностью 37 км и капитальный ремонт дымовой трубы на котельной № 16.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Выполнение данных работ привело к снижению количества аварий на сетях, более чем в 2 раза.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Проведение данного вида работ направлено на сокращение тепловых потерь, связанных с утечкой теплоносителя, и улучшение качества оказания услуг теплоснабжения.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сфере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газоснабжения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услуги населению оказывают: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филиал АО «Газпром газораспределение Ленинградской области» в г. Кингисеппе, ООО «Газпром межрегионгаз Санкт-Петербург» в Ленинградской области, ООО «ЛОГазинвест».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>
        <w:rPr>
          <w:rFonts w:ascii="Times New Roman" w:hAnsi="Times New Roman" w:cs="Times New Roman"/>
          <w:color w:val="000000"/>
          <w:sz w:val="24"/>
          <w:szCs w:val="24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 рамках программы Развития газоснабжения и </w:t>
      </w:r>
      <w:hyperlink r:id="rId22" w:tooltip="https://www.gazprom.ru/about/production/gas-infrastructure-expansion/" w:history="1">
        <w:r>
          <w:rPr>
            <w:rFonts w:ascii="Times New Roman" w:hAnsi="Times New Roman" w:eastAsia="Times New Roman" w:cs="Times New Roman"/>
            <w:color w:val="000000" w:themeColor="text1"/>
            <w:sz w:val="24"/>
            <w:szCs w:val="24"/>
            <w:lang w:val="ru-RU" w:eastAsia="en-US"/>
          </w:rPr>
          <w:t xml:space="preserve">газификации</w:t>
        </w:r>
      </w:hyperlink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Ленинградской области на пятилетний период для обеспечения газификации Сланцевского муниципального района: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- выполнен проект по строительству межпоселкового газопровода от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г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. Сланцы до дер.  Б. Поля, дер. Каменка, дер. Печурки,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Загривье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(протяженность 17,8 км; техническую возможность получат 539 домовладени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будет переведена на газовое топливо 1 котельная). Ввод объекта в эксплуатацию в 2024 году.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- с 2022 года осуществляется  проектирование двух межпоселковых газопроводов: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от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Выскатка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Рудно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дер. Гусева Гора, дер. Новоселье с отводом на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Заовражье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Сланцевского района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протяженностью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19 км; техническую возможность получат 626 домовладений; будут переведены на газовое топливо 2 котельные);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от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Выскатка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до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Кушела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Заберезье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Кологриво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Плешево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Менюши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дер. Старополье,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Шакицы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Овсище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с отводами на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Пантелейково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и дер.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Гаянщина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Сланцевского района (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протяженностью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36 км; техническую возможность пол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учат 549 домовладений; будут переведены на газовое топливо 2 котельные);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При поддержке Правительства Ленинградской области в рамках подпрограммы "Газификация Ленинградской области" выполнены строительно-монтажные работы и осуществлен пуск газа по следующим объектам газоснабжения: улицы Красная, Изумрудная, Ягодная,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Гавриловская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Право-Кушельская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Дачная, Трудовая, Льва Толстого. Общая сумма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затрат на строительство газопроводов составила 20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миллионов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885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тысяч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руб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лей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 2021 году по поручению Президента Российской Федерации начала работу программа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Догазификации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- обеспечение по заявке собственника домовладения подводки газа до границ земельных участков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негазифицированных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домовладений в газифицированных населенных пунктах. В рамках данной программы полномочия по газификации Ленинградской области были переданы Единому оператору - АО «Газпром газораспределение Ленинградская область».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На 01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января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2024 г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ода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 программу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догазификации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включены следующие населенные пункты: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г. Сланцы;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д. Малые Поля;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Выскатка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Гостицы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Сижно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пос. Шахта №3 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За 2022-2023 годы Единым оператором газификации выполнено 90% строительства распределительных газопроводов по улицам города Сланцы, д.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Выскатка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и д.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Гостицы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На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конец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2023 г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ода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принято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454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заявк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и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на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догазификацию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заключено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432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договор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строено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267 газопроводов-вводов.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Работы по строительству распределительных газопроводов по городу Сланцы будут про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должены.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 рамках программы догазификации всего необходимо газифицировать в Сланцевском районе 1335 домовладений, из них: в городе Сланцы 1270 домовладений, дер. Гостицы 40 домовладений, дер. Выскатка 25 домовладений.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numPr>
          <w:ilvl w:val="1"/>
          <w:numId w:val="1"/>
        </w:numPr>
        <w:ind w:left="0" w:firstLine="426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 xml:space="preserve">Природный потенциал</w:t>
      </w: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r>
    </w:p>
    <w:p>
      <w:pPr>
        <w:pStyle w:val="903"/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i/>
          <w:i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Главным элементом ресурсно-сырьевого потенциала района являются горючие сланцы, запасы которых оцениваются примерно в 5-7 млрд. т, т.е. около 19 % всех разведанных запасов горючих сланцев в РФ.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Помимо горючих сланцев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на территории Сланцевского района находятся и такие имеющие промышленное значение полезные ископаемые, как известняки и мергели, глина, п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сок, торф, сапропель.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Район богат лесными ресурсами: свыше 50 % его территории покрыто лесами. Большая часть территории района покрыта лесами и служит пограничной зоной Российской Федерации, то есть, выведена из активного использования и посещ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Значительны ресурсы поверхностных водных объектов, занимающие 10 % территории района (крупные реки Нарва и Плюсса), озера (Чудское, Самро, Долгое), Нарвское водохранилище, потенциально привлекательные для развития рекреационной деятельности.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Экологическая ситуация в последние годы ха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рактеризуется как благоприятная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сновными объектами, оказывающими негативное воздействие на окружающую среду, являются предприятия промышленного компл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екса города Сланцы и объекты ЖКХ. Согласно классификации ГГО им. Воейкова г. Сланцы находится на территории, которая характеризуется умеренным потенциалом загрязнения (ПЗА), что создает достаточно благоприятные условия для рассеивания выбросов в атмосфере.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clear" w:pos="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В Сланцевском городском поселении действует современный полигон ТБО вместим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</w:rPr>
        <w:t xml:space="preserve">стью 522 тыс. м³.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en-US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ind w:firstLine="426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Приоритеты экономического развития муниципального района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Style w:val="903"/>
        <w:ind w:left="36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pStyle w:val="959"/>
        <w:ind w:firstLine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Приоритетными направлениями экономического развития являются размещение на те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ритории района пред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приятий, производств и объектов.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160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eastAsia="ru-RU"/>
        </w:rPr>
        <w:t xml:space="preserve">Анализ социальной и экономической обстановки в районе позволяет выявить приоритетные направления инвестирования, в которых район наиболее заинтересован и которые смогут дать реальную выгоду для инвестора. Это, прежде всего: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Размещение новых промышленных объектов, в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том числе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ориентированных на наличие в районе полезных ископаемых.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Развитие свободных площадей действующих промышленных предприятий.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Создание и развитие промышленных зон.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Сельскохозяйственное производство и переработка.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трасль строительных материалов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ищевая промышленность;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Малоэтажное жилищное строительство.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Строительство доступного жилья на базе существующих населенных пунктов с модернизацией действующей коммунальной инфраструктуры.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Инвестирование в коммунальные объекты тепло- и водоснабжения.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Развитие сферы услуг и развлечений, в том числе зон отдыха и спорта.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numPr>
          <w:ilvl w:val="0"/>
          <w:numId w:val="7"/>
        </w:numPr>
        <w:ind w:left="0" w:firstLine="426"/>
        <w:jc w:val="both"/>
        <w:tabs>
          <w:tab w:val="left" w:pos="360" w:leader="none"/>
          <w:tab w:val="left" w:pos="709" w:leader="none"/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Развитие пригородного гостиничного бизнеса.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903"/>
        <w:ind w:firstLine="426"/>
        <w:jc w:val="both"/>
        <w:tabs>
          <w:tab w:val="left" w:pos="1600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Каждое направление по-своему интересно и требует дополнительного обсуждения со специалистами администрации Сланцевского района и вынесение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на публичные слушания. По всем возникающим вопросам потенциальному инвестору будут даны необходимые письменные и устные консультации, оказана методическая и практическая помощь.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Условиями и предпосылками развития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в первую очередь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,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являются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экономико-географическое положение района, эко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номический, природный потенциал.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аиболее важные из них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: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76"/>
        <w:numPr>
          <w:ilvl w:val="0"/>
          <w:numId w:val="27"/>
        </w:numPr>
        <w:ind w:left="850" w:right="0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Приграничное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положение, близость к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морскому торговому порту Усть - Луга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76"/>
        <w:numPr>
          <w:ilvl w:val="0"/>
          <w:numId w:val="27"/>
        </w:numPr>
        <w:ind w:left="850" w:right="0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Хорошая транспортная доступность;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76"/>
        <w:numPr>
          <w:ilvl w:val="0"/>
          <w:numId w:val="27"/>
        </w:numPr>
        <w:ind w:left="850" w:right="0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Промышленный потенциал при хорошем местоположении и наличии природных ископаемых;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76"/>
        <w:numPr>
          <w:ilvl w:val="0"/>
          <w:numId w:val="27"/>
        </w:numPr>
        <w:ind w:left="850" w:right="0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Наличие свободных производственных мощностей и территорий;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76"/>
        <w:numPr>
          <w:ilvl w:val="0"/>
          <w:numId w:val="27"/>
        </w:numPr>
        <w:ind w:left="850" w:right="0" w:hanging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Не высокий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уровень регистрируемой безработицы.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34"/>
        <w:ind w:firstLine="426"/>
        <w:jc w:val="both"/>
        <w:spacing w:before="0" w:beforeAutospacing="0" w:after="0" w:afterAutospacing="0"/>
        <w:tabs>
          <w:tab w:val="left" w:pos="1276" w:leader="none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Свободные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инвестиционны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е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площадк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Сланцевского муниципального района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Ленинградской области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</w:r>
    </w:p>
    <w:p>
      <w:pPr>
        <w:ind w:firstLine="426"/>
        <w:jc w:val="both"/>
        <w:tabs>
          <w:tab w:val="left" w:pos="160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left" w:pos="160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 территории Сланцевского муниципального района Ленинградской области расположены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14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свободных площадок для потенциальных инвест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о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ров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,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в том числе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2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свободных земельных участка на территории под индустриальный парк «Сланцы».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left" w:pos="160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ind w:firstLine="426"/>
        <w:jc w:val="both"/>
        <w:tabs>
          <w:tab w:val="left" w:pos="1600" w:leader="none"/>
        </w:tabs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Информация о свободных инвестиционных площадках размещена в Интегрированной региональной информационной системе Ленинградской области "Инвестиционное развитие территории Ленинградской области" (ИРИС)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по ссылке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fldChar w:fldCharType="begin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instrText xml:space="preserve"> HYPERLINK "https://map.lenoblinvest.ru/gis/" </w:instrTex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https://</w:t>
      </w:r>
      <w:bookmarkStart w:id="0" w:name="_Hlt527467508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bookmarkStart w:id="1" w:name="_Hlt527467509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m</w:t>
      </w:r>
      <w:bookmarkEnd w:id="0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r>
      <w:bookmarkEnd w:id="1"/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ap.lenoblinvest.ru/gis/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ru-RU"/>
        </w:rPr>
        <w:t xml:space="preserve">.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14:ligatures w14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  <w14:ligatures w14:val="none"/>
        </w:rPr>
      </w:r>
    </w:p>
    <w:p>
      <w:pPr>
        <w:pStyle w:val="903"/>
        <w:jc w:val="center"/>
        <w:sectPr>
          <w:footerReference w:type="default" r:id="rId9"/>
          <w:footnotePr/>
          <w:endnotePr/>
          <w:type w:val="nextPage"/>
          <w:pgSz w:w="11905" w:h="16837" w:orient="portrait"/>
          <w:pgMar w:top="851" w:right="851" w:bottom="567" w:left="1418" w:header="142" w:footer="0" w:gutter="0"/>
          <w:cols w:num="1" w:sep="0" w:space="720" w:equalWidth="1"/>
          <w:docGrid w:linePitch="360"/>
        </w:sectPr>
      </w:pPr>
      <w:r/>
      <w:r/>
    </w:p>
    <w:p>
      <w:pPr>
        <w:pStyle w:val="9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Расположение инвестиционных площадок и индустриальных парков на территории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Сланцевского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муниципального района </w:t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34"/>
        <w:jc w:val="center"/>
        <w:spacing w:before="0" w:beforeAutospacing="0" w:after="0" w:afterAutospacing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eastAsia="Times New Roman" w:cs="Times New Roman"/>
          <w:i/>
          <w:sz w:val="24"/>
          <w:szCs w:val="24"/>
        </w:rPr>
        <w:t xml:space="preserve">Источник: Инвестиционный портал Ленинградской области</w:t>
      </w:r>
      <w:r>
        <w:rPr>
          <w:rFonts w:ascii="Times New Roman" w:hAnsi="Times New Roman" w:eastAsia="Times New Roman" w:cs="Times New Roman"/>
          <w:i/>
          <w:sz w:val="24"/>
          <w:szCs w:val="24"/>
          <w:lang w:val="ru-RU"/>
        </w:rPr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pStyle w:val="934"/>
        <w:jc w:val="center"/>
        <w:spacing w:before="0" w:beforeAutospacing="0" w:after="0" w:afterAutospacing="0"/>
        <w:rPr>
          <w:i/>
          <w:lang w:val="ru-RU"/>
        </w:rPr>
      </w:pPr>
      <w:r>
        <w:rPr>
          <w:i/>
          <w:lang w:val="ru-RU"/>
        </w:rPr>
      </w:r>
      <w:r>
        <w:rPr>
          <w:i/>
          <w:lang w:val="ru-RU"/>
        </w:rPr>
      </w:r>
      <w:r>
        <w:rPr>
          <w:i/>
          <w:lang w:val="ru-RU"/>
        </w:rPr>
      </w:r>
    </w:p>
    <w:p>
      <w:pPr>
        <w:pStyle w:val="934"/>
        <w:jc w:val="center"/>
        <w:spacing w:before="0" w:beforeAutospacing="0" w:after="0" w:afterAutospacing="0"/>
        <w:rPr>
          <w:lang w:val="ru-RU"/>
        </w:rPr>
      </w:pPr>
      <w:r>
        <w:rPr>
          <w:lang w:val="ru-RU"/>
        </w:rPr>
        <w:fldChar w:fldCharType="begin"/>
      </w:r>
      <w:r>
        <w:rPr>
          <w:lang w:val="ru-RU"/>
        </w:rPr>
        <w:instrText xml:space="preserve"> SHAPE  \* MERGEFORMAT </w:instrText>
      </w:r>
      <w:r>
        <w:rPr>
          <w:lang w:val="ru-RU"/>
        </w:rPr>
        <w:fldChar w:fldCharType="separate"/>
      </w:r>
      <w:r>
        <w:rPr>
          <w:lang w:val="ru-RU"/>
        </w:rPr>
        <w:fldChar w:fldCharType="end"/>
      </w:r>
      <w:r>
        <w:rPr>
          <w:lang w:val="ru-RU" w:eastAsia="ru-RU" w:bidi="hi-I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731770" cy="1296670"/>
                <wp:effectExtent l="0" t="0" r="0" b="0"/>
                <wp:docPr id="14" name="_x0000_s10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22399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731769" cy="12966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DD9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15.10pt;height:102.10pt;mso-wrap-distance-left:0.00pt;mso-wrap-distance-top:0.00pt;mso-wrap-distance-right:0.00pt;mso-wrap-distance-bottom:0.00pt;" strokecolor="#009DD9" strokeweight="1.50pt">
                <v:path textboxrect="0,0,0,0"/>
                <v:imagedata r:id="rId23" o:title=""/>
              </v:shape>
            </w:pict>
          </mc:Fallback>
        </mc:AlternateContent>
      </w:r>
      <w:r>
        <w:rPr>
          <w:lang w:val="ru-RU"/>
        </w:rPr>
      </w:r>
      <w:r>
        <w:rPr>
          <w:lang w:val="ru-RU"/>
        </w:rPr>
      </w:r>
    </w:p>
    <w:p>
      <w:pPr>
        <w:pStyle w:val="934"/>
        <w:jc w:val="both"/>
        <w:spacing w:before="0" w:beforeAutospacing="0" w:after="0" w:afterAutospacing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pStyle w:val="934"/>
        <w:jc w:val="both"/>
        <w:spacing w:before="0" w:beforeAutospacing="0" w:after="0" w:afterAutospacing="0"/>
        <w:rPr>
          <w:lang w:val="ru-RU"/>
        </w:rP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tbl>
      <w:tblPr>
        <w:tblW w:w="10178" w:type="dxa"/>
        <w:tblInd w:w="-147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0A0" w:firstRow="1" w:lastRow="0" w:firstColumn="1" w:lastColumn="0" w:noHBand="0" w:noVBand="0"/>
      </w:tblPr>
      <w:tblGrid>
        <w:gridCol w:w="1017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/>
        <w:tc>
          <w:tcPr>
            <w:tcW w:w="10178" w:type="dxa"/>
            <w:vAlign w:val="top"/>
            <w:textDirection w:val="lrTb"/>
            <w:noWrap w:val="false"/>
          </w:tcPr>
          <w:p>
            <w:pPr>
              <w:pStyle w:val="903"/>
              <w:jc w:val="center"/>
              <w:spacing w:after="12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i/>
                <w:iCs/>
                <w:sz w:val="24"/>
                <w:szCs w:val="24"/>
              </w:rPr>
              <w:t xml:space="preserve">Крупнейшие инвестиционные площадки района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90"/>
        </w:trPr>
        <w:tc>
          <w:tcPr>
            <w:tcW w:w="10178" w:type="dxa"/>
            <w:vAlign w:val="top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 xml:space="preserve">1 площадка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 Наименование площадки: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shd w:val="clear" w:color="auto" w:fill="ffffff"/>
              </w:rPr>
              <w:t xml:space="preserve">Индустриальный парк "Сланцы", земельный участок (кадастровый номер 47:28:0301036:511)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 Место расположения (адрес): Ленинградская область, Сланцевский муниципальный район, Сланцевское городское поселение, г. Сланцы, Сланцевское шоссе, северо-восточнее участка 34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3. Вид разрешенного использования: Зона промышленных предприятий и коммунально-складских организаций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4. Класс опасности: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IV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V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 Общая площадь, Га: 37.2873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6. Тип: Предложения для девелоперов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7. Форма собственности: неразграниченная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8. Варианты приобретения: аренда, продажа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9. Крупнейшие предприятия индустриального парка - нет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10. Инженерная инфраструктура (мощности и возможности подключений)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Водоснабжение: есть возможность. Водопроводная линия 315 мм (ПЭ) проходящая по Сланцевскому шоссе;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Водоотведение: есть возможность подключения. Необходимо строительство локальных очистных сооружений;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Электроснабжение: есть возможность подключения;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Газоснабжение: есть возможность подключения от грс низкого давления г. Сланцы;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Теплоснабжение: есть возможность подключ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ения. Необходимо внесение изменений в «Схему теплоснабжения муниципального образования Сланцевское городское поселение Сланцевского муниципального района Ленинградской области до 2030 года» в части реконструкции и строительства тепловых сетей и сооружений;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Связь: мобильная.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11. Контактное лицо от площадки (ФИО, должность, контакт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ный телефон, email) Никифорчин Наталья Александровна, заместитель главы администрации - председатель комитета по управлению  муниципальным имуществом и земельными ресурсами Сланцевского муниципального района, тел.: 8 (81374) 22-852 E-mail: slanmo@slanmo.ru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190"/>
        </w:trPr>
        <w:tc>
          <w:tcPr>
            <w:tcW w:w="10178" w:type="dxa"/>
            <w:vAlign w:val="top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2 площадка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 Наименование площадки: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shd w:val="clear" w:color="auto" w:fill="ffffff"/>
              </w:rPr>
              <w:t xml:space="preserve">Индустриальный парк "Сланцы", земельный участок (кадастровый номер 47:28:0301035:183)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 Место расположения (адрес): Ленинградская область, Сланцевский муниципальный район, Сланцевское городское поселение, г. Сланцы, ул.Полевая, северо-восточнее участка 51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3. Вид разрешенного использования: Зона промышленных предприятий и коммунально-складских организаций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4. Класс опасности: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IV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V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 Общая площадь, Га: 73.5649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6. Тип: Предложения для девелоперов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7. Форма собственности: неразграниченная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8. Варианты приобретения: аренда, продажа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9. Крупнейшие предприятия индустриального парка - нет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10.Инженерная инфраструктура (мощности и возможности подключений)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Водоснабжение: есть возможность. Водопроводная линия 400 мм (ПЭ) проходящая по пр.Молодежному;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Водоотведение: есть возможность подключения. Канализационная линия 300 мм (ж/б) проходящая по пр. Молодежному;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Электроснабжение: есть возможность подключения;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Газоснабжение: есть возможность подключения от грс низкого давления г. Сланцы;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Теплоснабжение: есть возможность подключ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ения. Необходимо внесение изменений в «Схему теплоснабжения муниципального образования Сланцевское городское поселение Сланцевского муниципального района Ленинградской области до 2030 года» в части реконструкции и строительства тепловых сетей и сооружений;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Связь: мобильная.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11. Контактное лицо от площадки (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ФИО, должность, контактный телефон, e-mail) Никифорчин Наталья Александровна, заместитель главы администрации - председатель комитета по управлению  муниципальным имуществом и земельными ресурсами Сланцевского муниципального района, тел.: 8 (81374) 22-852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e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-mail: slanmo@slanmo.ru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3"/>
        </w:trPr>
        <w:tc>
          <w:tcPr>
            <w:tcW w:w="10178" w:type="dxa"/>
            <w:vAlign w:val="top"/>
            <w:textDirection w:val="lrTb"/>
            <w:noWrap w:val="false"/>
          </w:tcPr>
          <w:p>
            <w:pPr>
              <w:pStyle w:val="9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3 площадка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1. Наименование площадки: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shd w:val="clear" w:color="auto" w:fill="ffffff"/>
              </w:rPr>
              <w:t xml:space="preserve">Промышленная площадка ООО «СЛАНЦЫ»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2. Место расположения (адрес): Ленинградская область, Сланцевский муниципальный район, Сланцевское городское поселение, г. Сланцы, ул. Заводская, д.1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3. Вид разрешенного использования: для размещения промышленных объектов - территория завода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4. Класс опасности: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II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III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IV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en-US"/>
              </w:rPr>
              <w:t xml:space="preserve">V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5. Общая площадь, Га: 117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6. Тип: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7. Форма собственности: аренда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8. Варианты приобретения: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9. Крупнейшие предприятия индустриального парка - нет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10.Инженерная инфраструктура (мощности и возможности подключений)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Водоснабжение: есть возможность подключения;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Водоотведение: есть возможность подключения (прием и очистка сточных вод);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Электроснабжение: 5МВт (возможно увеличение до 10МВт);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Газоснабжение: есть возможность подключения;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Теплоснабжение: до 30 Гкал/час;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Связь: мобильная.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  <w:p>
            <w:pPr>
              <w:pStyle w:val="90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11. Контактное лицо по площадки (ФИО, должность, контактный телефон, e-mail): Тарасов С.Г., главный инженер, (881374)71-000, info@shales.su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</w:tbl>
    <w:p>
      <w:r/>
      <w:r/>
    </w:p>
    <w:sectPr>
      <w:footnotePr/>
      <w:endnotePr/>
      <w:type w:val="nextPage"/>
      <w:pgSz w:w="11905" w:h="16837" w:orient="portrait"/>
      <w:pgMar w:top="851" w:right="851" w:bottom="567" w:left="1418" w:header="142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Liberation Serif">
    <w:panose1 w:val="02020603050405020304"/>
  </w:font>
  <w:font w:name="SimSun">
    <w:panose1 w:val="02010600030101010101"/>
  </w:font>
  <w:font w:name="Calibri">
    <w:panose1 w:val="020F0502020204030204"/>
  </w:font>
  <w:font w:name="Batang">
    <w:panose1 w:val="02010600030101010101"/>
  </w:font>
  <w:font w:name="Consolas">
    <w:panose1 w:val="020B0609020204030204"/>
  </w:font>
  <w:font w:name="Andale Sans UI">
    <w:panose1 w:val="05050102010205020202"/>
  </w:font>
  <w:font w:name="DejaVu Sans">
    <w:panose1 w:val="020B0603030804020204"/>
  </w:font>
  <w:font w:name="Tahoma">
    <w:panose1 w:val="020B0604030504040204"/>
  </w:font>
  <w:font w:name="OpenSymbol">
    <w:panose1 w:val="05010000000000000000"/>
  </w:font>
  <w:font w:name="Courier New">
    <w:panose1 w:val="02070309020205020404"/>
  </w:font>
  <w:font w:name="Symbol">
    <w:panose1 w:val="05050102010706020507"/>
  </w:font>
  <w:font w:name="Wingdings 2">
    <w:panose1 w:val="05020102010507070707"/>
  </w:font>
  <w:font w:name="Times New Roman">
    <w:panose1 w:val="02020603050405020304"/>
  </w:font>
  <w:font w:name="Cambria">
    <w:panose1 w:val="02040503050406030204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38"/>
      <w:jc w:val="center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16</w:t>
    </w: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  <w:p>
    <w:pPr>
      <w:pStyle w:val="93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35" w:hanging="360"/>
        <w:tabs>
          <w:tab w:val="num" w:pos="735" w:leader="none"/>
        </w:tabs>
      </w:pPr>
      <w:rPr>
        <w:rFonts w:ascii="Tahoma" w:hAnsi="Tahoma"/>
        <w:b w:val="0"/>
        <w:sz w:val="28"/>
      </w:rPr>
    </w:lvl>
    <w:lvl w:ilvl="1">
      <w:start w:val="1"/>
      <w:numFmt w:val="bullet"/>
      <w:isLgl w:val="false"/>
      <w:suff w:val="tab"/>
      <w:lvlText w:val="◦"/>
      <w:lvlJc w:val="left"/>
      <w:pPr>
        <w:ind w:left="1095" w:hanging="360"/>
        <w:tabs>
          <w:tab w:val="num" w:pos="1095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▪"/>
      <w:lvlJc w:val="left"/>
      <w:pPr>
        <w:ind w:left="1455" w:hanging="360"/>
        <w:tabs>
          <w:tab w:val="num" w:pos="1455" w:leader="none"/>
        </w:tabs>
      </w:pPr>
      <w:rPr>
        <w:rFonts w:ascii="OpenSymbol" w:hAnsi="OpenSymbol"/>
      </w:rPr>
    </w:lvl>
    <w:lvl w:ilvl="3">
      <w:start w:val="1"/>
      <w:numFmt w:val="bullet"/>
      <w:isLgl w:val="false"/>
      <w:suff w:val="tab"/>
      <w:lvlText w:val=""/>
      <w:lvlJc w:val="left"/>
      <w:pPr>
        <w:ind w:left="1815" w:hanging="360"/>
        <w:tabs>
          <w:tab w:val="num" w:pos="1815" w:leader="none"/>
        </w:tabs>
      </w:pPr>
      <w:rPr>
        <w:rFonts w:ascii="Wingdings 2" w:hAnsi="Wingdings 2"/>
      </w:rPr>
    </w:lvl>
    <w:lvl w:ilvl="4">
      <w:start w:val="1"/>
      <w:numFmt w:val="bullet"/>
      <w:isLgl w:val="false"/>
      <w:suff w:val="tab"/>
      <w:lvlText w:val="◦"/>
      <w:lvlJc w:val="left"/>
      <w:pPr>
        <w:ind w:left="2175" w:hanging="360"/>
        <w:tabs>
          <w:tab w:val="num" w:pos="2175" w:leader="none"/>
        </w:tabs>
      </w:pPr>
      <w:rPr>
        <w:rFonts w:ascii="OpenSymbol" w:hAnsi="OpenSymbol"/>
      </w:rPr>
    </w:lvl>
    <w:lvl w:ilvl="5">
      <w:start w:val="1"/>
      <w:numFmt w:val="bullet"/>
      <w:isLgl w:val="false"/>
      <w:suff w:val="tab"/>
      <w:lvlText w:val="▪"/>
      <w:lvlJc w:val="left"/>
      <w:pPr>
        <w:ind w:left="2535" w:hanging="360"/>
        <w:tabs>
          <w:tab w:val="num" w:pos="2535" w:leader="none"/>
        </w:tabs>
      </w:pPr>
      <w:rPr>
        <w:rFonts w:ascii="OpenSymbol" w:hAnsi="OpenSymbol"/>
      </w:rPr>
    </w:lvl>
    <w:lvl w:ilvl="6">
      <w:start w:val="1"/>
      <w:numFmt w:val="bullet"/>
      <w:isLgl w:val="false"/>
      <w:suff w:val="tab"/>
      <w:lvlText w:val=""/>
      <w:lvlJc w:val="left"/>
      <w:pPr>
        <w:ind w:left="2895" w:hanging="360"/>
        <w:tabs>
          <w:tab w:val="num" w:pos="2895" w:leader="none"/>
        </w:tabs>
      </w:pPr>
      <w:rPr>
        <w:rFonts w:ascii="Wingdings 2" w:hAnsi="Wingdings 2"/>
      </w:rPr>
    </w:lvl>
    <w:lvl w:ilvl="7">
      <w:start w:val="1"/>
      <w:numFmt w:val="bullet"/>
      <w:isLgl w:val="false"/>
      <w:suff w:val="tab"/>
      <w:lvlText w:val="◦"/>
      <w:lvlJc w:val="left"/>
      <w:pPr>
        <w:ind w:left="3255" w:hanging="360"/>
        <w:tabs>
          <w:tab w:val="num" w:pos="3255" w:leader="none"/>
        </w:tabs>
      </w:pPr>
      <w:rPr>
        <w:rFonts w:ascii="OpenSymbol" w:hAnsi="OpenSymbol"/>
      </w:rPr>
    </w:lvl>
    <w:lvl w:ilvl="8">
      <w:start w:val="1"/>
      <w:numFmt w:val="bullet"/>
      <w:isLgl w:val="false"/>
      <w:suff w:val="tab"/>
      <w:lvlText w:val="▪"/>
      <w:lvlJc w:val="left"/>
      <w:pPr>
        <w:ind w:left="3615" w:hanging="360"/>
        <w:tabs>
          <w:tab w:val="num" w:pos="3615" w:leader="none"/>
        </w:tabs>
      </w:pPr>
      <w:rPr>
        <w:rFonts w:ascii="OpenSymbol" w:hAnsi="OpenSymbol"/>
      </w:rPr>
    </w:lvl>
  </w:abstractNum>
  <w:abstractNum w:abstractNumId="1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</w:lvl>
    <w:lvl w:ilvl="1">
      <w:start w:val="1"/>
      <w:numFmt w:val="decimal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</w:lvl>
    <w:lvl w:ilvl="2">
      <w:start w:val="1"/>
      <w:numFmt w:val="decimal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</w:lvl>
    <w:lvl w:ilvl="3">
      <w:start w:val="1"/>
      <w:numFmt w:val="decimal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ascii="Symbol" w:hAnsi="Symbol" w:eastAsia="Times New Roman" w:cs="OpenSymbol"/>
        <w:b/>
        <w:bCs/>
        <w:sz w:val="28"/>
        <w:szCs w:val="28"/>
      </w:rPr>
    </w:lvl>
    <w:lvl w:ilvl="1">
      <w:start w:val="1"/>
      <w:numFmt w:val="decimal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  <w:rPr>
        <w:rFonts w:cs="Times New Roman"/>
      </w:rPr>
    </w:lvl>
    <w:lvl w:ilvl="2">
      <w:start w:val="1"/>
      <w:numFmt w:val="decimal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  <w:rPr>
        <w:rFonts w:cs="Times New Roman"/>
      </w:rPr>
    </w:lvl>
    <w:lvl w:ilvl="3">
      <w:start w:val="1"/>
      <w:numFmt w:val="decimal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  <w:rPr>
        <w:rFonts w:cs="Times New Roman"/>
      </w:rPr>
    </w:lvl>
    <w:lvl w:ilvl="4">
      <w:start w:val="1"/>
      <w:numFmt w:val="decimal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  <w:rPr>
        <w:rFonts w:eastAsia="Times New Roman" w:cs="Times New Roman"/>
        <w:sz w:val="28"/>
        <w:szCs w:val="28"/>
      </w:r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  <w:rPr>
        <w:rFonts w:cs="Times New Roman"/>
      </w:r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  <w:rPr>
        <w:rFonts w:cs="Times New Roman"/>
      </w:rPr>
    </w:lvl>
    <w:lvl w:ilvl="7">
      <w:start w:val="1"/>
      <w:numFmt w:val="decimal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  <w:rPr>
        <w:rFonts w:cs="Times New Roman"/>
      </w:r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  <w:rPr>
        <w:rFonts w:cs="Times New Roman"/>
      </w:rPr>
    </w:lvl>
  </w:abstractNum>
  <w:abstractNum w:abstractNumId="3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432" w:hanging="432"/>
        <w:tabs>
          <w:tab w:val="num" w:pos="0" w:leader="none"/>
        </w:tabs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  <w:rPr>
        <w:rFonts w:ascii="Courier New" w:hAnsi="Courier New" w:cs="Courier New"/>
      </w:rPr>
    </w:lvl>
    <w:lvl w:ilvl="2">
      <w:start w:val="1"/>
      <w:numFmt w:val="decimal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  <w:rPr>
        <w:rFonts w:ascii="Wingdings" w:hAnsi="Wingdings" w:cs="Wingdings"/>
      </w:rPr>
    </w:lvl>
    <w:lvl w:ilvl="3">
      <w:start w:val="1"/>
      <w:numFmt w:val="decimal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  <w:rPr>
        <w:rFonts w:ascii="Symbol" w:hAnsi="Symbol" w:cs="Symbol"/>
      </w:rPr>
    </w:lvl>
    <w:lvl w:ilvl="4">
      <w:start w:val="1"/>
      <w:numFmt w:val="decimal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"/>
      <w:lvlJc w:val="left"/>
      <w:pPr/>
      <w:rPr>
        <w:rFonts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  <w:rPr>
        <w:rFonts w:cs="Times New Roman"/>
      </w:r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  <w:rPr>
        <w:rFonts w:cs="Times New Roman"/>
      </w:r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  <w:rPr>
        <w:rFonts w:cs="Times New Roman"/>
      </w:r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  <w:rPr>
        <w:rFonts w:cs="Times New Roman"/>
      </w:r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  <w:rPr>
        <w:rFonts w:cs="Times New Roman"/>
      </w:r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  <w:rPr>
        <w:rFonts w:cs="Times New Roman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69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isLgl w:val="fals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isLgl w:val="false"/>
      <w:suff w:val="nothing"/>
      <w:lvlText w:val=""/>
      <w:lvlJc w:val="left"/>
      <w:pPr>
        <w:ind w:left="720" w:hanging="720"/>
      </w:pPr>
      <w:rPr>
        <w:rFonts w:cs="Times New Roman"/>
        <w:b/>
        <w:sz w:val="28"/>
        <w:szCs w:val="28"/>
      </w:rPr>
    </w:lvl>
    <w:lvl w:ilvl="3">
      <w:start w:val="1"/>
      <w:numFmt w:val="decimal"/>
      <w:isLgl w:val="fals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isLgl w:val="false"/>
      <w:suff w:val="nothing"/>
      <w:lvlText w:val=""/>
      <w:lvlJc w:val="left"/>
      <w:pPr>
        <w:ind w:left="1008" w:hanging="1008"/>
      </w:pPr>
      <w:rPr>
        <w:rFonts w:cs="Times New Roman"/>
        <w:b/>
        <w:sz w:val="28"/>
        <w:szCs w:val="28"/>
      </w:r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isLgl w:val="fals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13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</w:lvl>
    <w:lvl w:ilvl="1">
      <w:start w:val="1"/>
      <w:numFmt w:val="decimal"/>
      <w:isLgl w:val="false"/>
      <w:suff w:val="tab"/>
      <w:lvlText w:val="%1.%2."/>
      <w:lvlJc w:val="left"/>
      <w:pPr>
        <w:ind w:left="1080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80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160" w:hanging="72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8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3240" w:hanging="108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96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320" w:hanging="144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040" w:hanging="1800"/>
      </w:p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432" w:hanging="432"/>
        <w:tabs>
          <w:tab w:val="num" w:pos="0" w:leader="none"/>
        </w:tabs>
      </w:pPr>
      <w:rPr>
        <w:rFonts w:ascii="Symbol" w:hAnsi="Symbol"/>
        <w:color w:val="000000"/>
        <w:shd w:val="clear" w:color="auto" w:fill="ffff00"/>
      </w:rPr>
    </w:lvl>
    <w:lvl w:ilvl="1">
      <w:start w:val="1"/>
      <w:numFmt w:val="decimal"/>
      <w:isLgl w:val="false"/>
      <w:suff w:val="nothing"/>
      <w:lvlText w:val=""/>
      <w:lvlJc w:val="left"/>
      <w:pPr>
        <w:ind w:left="576" w:hanging="576"/>
        <w:tabs>
          <w:tab w:val="num" w:pos="0" w:leader="none"/>
        </w:tabs>
      </w:pPr>
      <w:rPr>
        <w:rFonts w:ascii="Courier New" w:hAnsi="Courier New" w:cs="Courier New"/>
      </w:rPr>
    </w:lvl>
    <w:lvl w:ilvl="2">
      <w:start w:val="1"/>
      <w:numFmt w:val="decimal"/>
      <w:isLgl w:val="false"/>
      <w:suff w:val="nothing"/>
      <w:lvlText w:val=""/>
      <w:lvlJc w:val="left"/>
      <w:pPr>
        <w:ind w:left="720" w:hanging="720"/>
        <w:tabs>
          <w:tab w:val="num" w:pos="0" w:leader="none"/>
        </w:tabs>
      </w:pPr>
      <w:rPr>
        <w:rFonts w:ascii="Wingdings" w:hAnsi="Wingdings" w:cs="Wingdings"/>
      </w:rPr>
    </w:lvl>
    <w:lvl w:ilvl="3">
      <w:start w:val="1"/>
      <w:numFmt w:val="decimal"/>
      <w:isLgl w:val="false"/>
      <w:suff w:val="nothing"/>
      <w:lvlText w:val=""/>
      <w:lvlJc w:val="left"/>
      <w:pPr>
        <w:ind w:left="864" w:hanging="864"/>
        <w:tabs>
          <w:tab w:val="num" w:pos="0" w:leader="none"/>
        </w:tabs>
      </w:pPr>
    </w:lvl>
    <w:lvl w:ilvl="4">
      <w:start w:val="1"/>
      <w:numFmt w:val="decimal"/>
      <w:isLgl w:val="false"/>
      <w:suff w:val="nothing"/>
      <w:lvlText w:val=""/>
      <w:lvlJc w:val="left"/>
      <w:pPr>
        <w:ind w:left="1008" w:hanging="1008"/>
        <w:tabs>
          <w:tab w:val="num" w:pos="0" w:leader="none"/>
        </w:tabs>
      </w:p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  <w:tabs>
          <w:tab w:val="num" w:pos="0" w:leader="none"/>
        </w:tabs>
      </w:p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  <w:tabs>
          <w:tab w:val="num" w:pos="0" w:leader="none"/>
        </w:tabs>
      </w:pPr>
    </w:lvl>
    <w:lvl w:ilvl="7">
      <w:start w:val="1"/>
      <w:numFmt w:val="decimal"/>
      <w:isLgl w:val="false"/>
      <w:suff w:val="nothing"/>
      <w:lvlText w:val=""/>
      <w:lvlJc w:val="left"/>
      <w:pPr>
        <w:ind w:left="1440" w:hanging="1440"/>
        <w:tabs>
          <w:tab w:val="num" w:pos="0" w:leader="none"/>
        </w:tabs>
      </w:p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  <w:tabs>
          <w:tab w:val="num" w:pos="0" w:leader="none"/>
        </w:tabs>
      </w:pPr>
    </w:lvl>
  </w:abstractNum>
  <w:abstractNum w:abstractNumId="15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isLgl w:val="fals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isLgl w:val="fals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isLgl w:val="fals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isLgl w:val="fals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isLgl w:val="fals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•"/>
      <w:lvlJc w:val="left"/>
      <w:pPr/>
    </w:lvl>
    <w:lvl w:ilvl="1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2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3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4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5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6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7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  <w:lvl w:ilvl="8">
      <w:start w:val="0"/>
      <w:numFmt w:val="decimal"/>
      <w:isLgl w:val="false"/>
      <w:suff w:val="tab"/>
      <w:lvlText w:val=""/>
      <w:lvlJc w:val="left"/>
      <w:pPr/>
      <w:rPr>
        <w:rFonts w:cs="Times New Roman"/>
      </w:rPr>
    </w:lvl>
  </w:abstractNum>
  <w:abstractNum w:abstractNumId="17">
    <w:multiLevelType w:val="hybridMultilevel"/>
    <w:lvl w:ilvl="0">
      <w:start w:val="1"/>
      <w:numFmt w:val="decimal"/>
      <w:isLgl w:val="fals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isLgl w:val="fals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isLgl w:val="false"/>
      <w:suff w:val="nothing"/>
      <w:lvlText w:val=""/>
      <w:lvlJc w:val="left"/>
      <w:pPr>
        <w:ind w:left="720" w:hanging="720"/>
      </w:pPr>
      <w:rPr>
        <w:rFonts w:ascii="Times New Roman" w:hAnsi="Times New Roman" w:cs="Times New Roman"/>
        <w:b/>
        <w:sz w:val="28"/>
        <w:szCs w:val="28"/>
      </w:rPr>
    </w:lvl>
    <w:lvl w:ilvl="3">
      <w:start w:val="1"/>
      <w:numFmt w:val="decimal"/>
      <w:isLgl w:val="fals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isLgl w:val="false"/>
      <w:suff w:val="nothing"/>
      <w:lvlText w:val=""/>
      <w:lvlJc w:val="left"/>
      <w:pPr>
        <w:ind w:left="1008" w:hanging="1008"/>
      </w:pPr>
      <w:rPr>
        <w:rFonts w:cs="Times New Roman"/>
        <w:b/>
        <w:sz w:val="28"/>
        <w:szCs w:val="28"/>
      </w:rPr>
    </w:lvl>
    <w:lvl w:ilvl="5">
      <w:start w:val="1"/>
      <w:numFmt w:val="decimal"/>
      <w:isLgl w:val="fals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isLgl w:val="fals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isLgl w:val="fals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isLgl w:val="fals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080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08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440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44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1800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160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180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/>
        <w:sz w:val="20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70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79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51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323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95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67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39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611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7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97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17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37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57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77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97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17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37" w:hanging="360"/>
      </w:pPr>
      <w:rPr>
        <w:rFonts w:ascii="Wingdings" w:hAnsi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"/>
      <w:lvlJc w:val="left"/>
      <w:pPr>
        <w:ind w:left="735" w:hanging="360"/>
        <w:tabs>
          <w:tab w:val="num" w:pos="735" w:leader="none"/>
        </w:tabs>
      </w:pPr>
      <w:rPr>
        <w:rFonts w:ascii="Times New Roman" w:hAnsi="Times New Roman"/>
        <w:b w:val="0"/>
        <w:sz w:val="28"/>
      </w:rPr>
    </w:lvl>
    <w:lvl w:ilvl="1">
      <w:start w:val="1"/>
      <w:numFmt w:val="bullet"/>
      <w:isLgl w:val="false"/>
      <w:suff w:val="tab"/>
      <w:lvlText w:val="◦"/>
      <w:lvlJc w:val="left"/>
      <w:pPr>
        <w:ind w:left="1095" w:hanging="360"/>
        <w:tabs>
          <w:tab w:val="num" w:pos="1095" w:leader="none"/>
        </w:tabs>
      </w:pPr>
      <w:rPr>
        <w:rFonts w:ascii="OpenSymbol" w:hAnsi="OpenSymbol"/>
      </w:rPr>
    </w:lvl>
    <w:lvl w:ilvl="2">
      <w:start w:val="1"/>
      <w:numFmt w:val="bullet"/>
      <w:isLgl w:val="false"/>
      <w:suff w:val="tab"/>
      <w:lvlText w:val="▪"/>
      <w:lvlJc w:val="left"/>
      <w:pPr>
        <w:ind w:left="1455" w:hanging="360"/>
        <w:tabs>
          <w:tab w:val="num" w:pos="1455" w:leader="none"/>
        </w:tabs>
      </w:pPr>
      <w:rPr>
        <w:rFonts w:ascii="OpenSymbol" w:hAnsi="OpenSymbol"/>
      </w:rPr>
    </w:lvl>
    <w:lvl w:ilvl="3">
      <w:start w:val="1"/>
      <w:numFmt w:val="bullet"/>
      <w:isLgl w:val="false"/>
      <w:suff w:val="tab"/>
      <w:lvlText w:val=""/>
      <w:lvlJc w:val="left"/>
      <w:pPr>
        <w:ind w:left="1815" w:hanging="360"/>
        <w:tabs>
          <w:tab w:val="num" w:pos="1815" w:leader="none"/>
        </w:tabs>
      </w:pPr>
      <w:rPr>
        <w:rFonts w:ascii="Wingdings 2" w:hAnsi="Wingdings 2"/>
      </w:rPr>
    </w:lvl>
    <w:lvl w:ilvl="4">
      <w:start w:val="1"/>
      <w:numFmt w:val="bullet"/>
      <w:isLgl w:val="false"/>
      <w:suff w:val="tab"/>
      <w:lvlText w:val="◦"/>
      <w:lvlJc w:val="left"/>
      <w:pPr>
        <w:ind w:left="2175" w:hanging="360"/>
        <w:tabs>
          <w:tab w:val="num" w:pos="2175" w:leader="none"/>
        </w:tabs>
      </w:pPr>
      <w:rPr>
        <w:rFonts w:ascii="OpenSymbol" w:hAnsi="OpenSymbol"/>
      </w:rPr>
    </w:lvl>
    <w:lvl w:ilvl="5">
      <w:start w:val="1"/>
      <w:numFmt w:val="bullet"/>
      <w:isLgl w:val="false"/>
      <w:suff w:val="tab"/>
      <w:lvlText w:val="▪"/>
      <w:lvlJc w:val="left"/>
      <w:pPr>
        <w:ind w:left="2535" w:hanging="360"/>
        <w:tabs>
          <w:tab w:val="num" w:pos="2535" w:leader="none"/>
        </w:tabs>
      </w:pPr>
      <w:rPr>
        <w:rFonts w:ascii="OpenSymbol" w:hAnsi="OpenSymbol"/>
      </w:rPr>
    </w:lvl>
    <w:lvl w:ilvl="6">
      <w:start w:val="1"/>
      <w:numFmt w:val="bullet"/>
      <w:isLgl w:val="false"/>
      <w:suff w:val="tab"/>
      <w:lvlText w:val=""/>
      <w:lvlJc w:val="left"/>
      <w:pPr>
        <w:ind w:left="2895" w:hanging="360"/>
        <w:tabs>
          <w:tab w:val="num" w:pos="2895" w:leader="none"/>
        </w:tabs>
      </w:pPr>
      <w:rPr>
        <w:rFonts w:ascii="Wingdings 2" w:hAnsi="Wingdings 2"/>
      </w:rPr>
    </w:lvl>
    <w:lvl w:ilvl="7">
      <w:start w:val="1"/>
      <w:numFmt w:val="bullet"/>
      <w:isLgl w:val="false"/>
      <w:suff w:val="tab"/>
      <w:lvlText w:val="◦"/>
      <w:lvlJc w:val="left"/>
      <w:pPr>
        <w:ind w:left="3255" w:hanging="360"/>
        <w:tabs>
          <w:tab w:val="num" w:pos="3255" w:leader="none"/>
        </w:tabs>
      </w:pPr>
      <w:rPr>
        <w:rFonts w:ascii="OpenSymbol" w:hAnsi="OpenSymbol"/>
      </w:rPr>
    </w:lvl>
    <w:lvl w:ilvl="8">
      <w:start w:val="1"/>
      <w:numFmt w:val="bullet"/>
      <w:isLgl w:val="false"/>
      <w:suff w:val="tab"/>
      <w:lvlText w:val="▪"/>
      <w:lvlJc w:val="left"/>
      <w:pPr>
        <w:ind w:left="3615" w:hanging="360"/>
        <w:tabs>
          <w:tab w:val="num" w:pos="3615" w:leader="none"/>
        </w:tabs>
      </w:pPr>
      <w:rPr>
        <w:rFonts w:ascii="OpenSymbol" w:hAnsi="OpenSymbol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135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855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575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295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15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735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455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75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895" w:hanging="360"/>
      </w:pPr>
      <w:rPr>
        <w:rFonts w:hint="default" w:ascii="Wingdings" w:hAnsi="Wingdings" w:eastAsia="Wingdings" w:cs="Wingdings"/>
      </w:rPr>
    </w:lvl>
  </w:abstractNum>
  <w:num w:numId="1">
    <w:abstractNumId w:val="13"/>
  </w:num>
  <w:num w:numId="2">
    <w:abstractNumId w:val="19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0"/>
  </w:num>
  <w:num w:numId="6">
    <w:abstractNumId w:val="8"/>
  </w:num>
  <w:num w:numId="7">
    <w:abstractNumId w:val="23"/>
  </w:num>
  <w:num w:numId="8">
    <w:abstractNumId w:val="1"/>
  </w:num>
  <w:num w:numId="9">
    <w:abstractNumId w:val="3"/>
  </w:num>
  <w:num w:numId="10">
    <w:abstractNumId w:val="14"/>
  </w:num>
  <w:num w:numId="11">
    <w:abstractNumId w:val="2"/>
  </w:num>
  <w:num w:numId="12">
    <w:abstractNumId w:val="6"/>
  </w:num>
  <w:num w:numId="13">
    <w:abstractNumId w:val="0"/>
  </w:num>
  <w:num w:numId="14">
    <w:abstractNumId w:val="4"/>
  </w:num>
  <w:num w:numId="15">
    <w:abstractNumId w:val="16"/>
  </w:num>
  <w:num w:numId="16">
    <w:abstractNumId w:val="11"/>
  </w:num>
  <w:num w:numId="17">
    <w:abstractNumId w:val="5"/>
  </w:num>
  <w:num w:numId="18">
    <w:abstractNumId w:val="17"/>
  </w:num>
  <w:num w:numId="19">
    <w:abstractNumId w:val="15"/>
  </w:num>
  <w:num w:numId="20">
    <w:abstractNumId w:val="24"/>
  </w:num>
  <w:num w:numId="21">
    <w:abstractNumId w:val="22"/>
  </w:num>
  <w:num w:numId="22">
    <w:abstractNumId w:val="21"/>
  </w:num>
  <w:num w:numId="23">
    <w:abstractNumId w:val="12"/>
  </w:num>
  <w:num w:numId="24">
    <w:abstractNumId w:val="18"/>
  </w:num>
  <w:num w:numId="25">
    <w:abstractNumId w:val="7"/>
  </w:num>
  <w:num w:numId="26">
    <w:abstractNumId w:val="2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7">
    <w:name w:val="Heading 1"/>
    <w:basedOn w:val="903"/>
    <w:next w:val="903"/>
    <w:link w:val="728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28">
    <w:name w:val="Heading 1 Char"/>
    <w:link w:val="727"/>
    <w:uiPriority w:val="9"/>
    <w:rPr>
      <w:rFonts w:ascii="Arial" w:hAnsi="Arial" w:eastAsia="Arial" w:cs="Arial"/>
      <w:sz w:val="40"/>
      <w:szCs w:val="40"/>
    </w:rPr>
  </w:style>
  <w:style w:type="paragraph" w:styleId="729">
    <w:name w:val="Heading 2"/>
    <w:basedOn w:val="903"/>
    <w:next w:val="903"/>
    <w:link w:val="730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730">
    <w:name w:val="Heading 2 Char"/>
    <w:link w:val="729"/>
    <w:uiPriority w:val="9"/>
    <w:rPr>
      <w:rFonts w:ascii="Arial" w:hAnsi="Arial" w:eastAsia="Arial" w:cs="Arial"/>
      <w:sz w:val="34"/>
    </w:rPr>
  </w:style>
  <w:style w:type="paragraph" w:styleId="731">
    <w:name w:val="Heading 3"/>
    <w:basedOn w:val="903"/>
    <w:next w:val="903"/>
    <w:link w:val="73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32">
    <w:name w:val="Heading 3 Char"/>
    <w:link w:val="731"/>
    <w:uiPriority w:val="9"/>
    <w:rPr>
      <w:rFonts w:ascii="Arial" w:hAnsi="Arial" w:eastAsia="Arial" w:cs="Arial"/>
      <w:sz w:val="30"/>
      <w:szCs w:val="30"/>
    </w:rPr>
  </w:style>
  <w:style w:type="paragraph" w:styleId="733">
    <w:name w:val="Heading 4"/>
    <w:basedOn w:val="903"/>
    <w:next w:val="903"/>
    <w:link w:val="73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34">
    <w:name w:val="Heading 4 Char"/>
    <w:link w:val="733"/>
    <w:uiPriority w:val="9"/>
    <w:rPr>
      <w:rFonts w:ascii="Arial" w:hAnsi="Arial" w:eastAsia="Arial" w:cs="Arial"/>
      <w:b/>
      <w:bCs/>
      <w:sz w:val="26"/>
      <w:szCs w:val="26"/>
    </w:rPr>
  </w:style>
  <w:style w:type="paragraph" w:styleId="735">
    <w:name w:val="Heading 5"/>
    <w:basedOn w:val="903"/>
    <w:next w:val="903"/>
    <w:link w:val="73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36">
    <w:name w:val="Heading 5 Char"/>
    <w:link w:val="735"/>
    <w:uiPriority w:val="9"/>
    <w:rPr>
      <w:rFonts w:ascii="Arial" w:hAnsi="Arial" w:eastAsia="Arial" w:cs="Arial"/>
      <w:b/>
      <w:bCs/>
      <w:sz w:val="24"/>
      <w:szCs w:val="24"/>
    </w:rPr>
  </w:style>
  <w:style w:type="paragraph" w:styleId="737">
    <w:name w:val="Heading 6"/>
    <w:basedOn w:val="903"/>
    <w:next w:val="903"/>
    <w:link w:val="738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8">
    <w:name w:val="Heading 6 Char"/>
    <w:link w:val="737"/>
    <w:uiPriority w:val="9"/>
    <w:rPr>
      <w:rFonts w:ascii="Arial" w:hAnsi="Arial" w:eastAsia="Arial" w:cs="Arial"/>
      <w:b/>
      <w:bCs/>
      <w:sz w:val="22"/>
      <w:szCs w:val="22"/>
    </w:rPr>
  </w:style>
  <w:style w:type="paragraph" w:styleId="739">
    <w:name w:val="Heading 7"/>
    <w:basedOn w:val="903"/>
    <w:next w:val="903"/>
    <w:link w:val="740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40">
    <w:name w:val="Heading 7 Char"/>
    <w:link w:val="73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41">
    <w:name w:val="Heading 8"/>
    <w:basedOn w:val="903"/>
    <w:next w:val="903"/>
    <w:link w:val="74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42">
    <w:name w:val="Heading 8 Char"/>
    <w:link w:val="741"/>
    <w:uiPriority w:val="9"/>
    <w:rPr>
      <w:rFonts w:ascii="Arial" w:hAnsi="Arial" w:eastAsia="Arial" w:cs="Arial"/>
      <w:i/>
      <w:iCs/>
      <w:sz w:val="22"/>
      <w:szCs w:val="22"/>
    </w:rPr>
  </w:style>
  <w:style w:type="paragraph" w:styleId="743">
    <w:name w:val="Heading 9"/>
    <w:basedOn w:val="903"/>
    <w:next w:val="903"/>
    <w:link w:val="74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4">
    <w:name w:val="Heading 9 Char"/>
    <w:link w:val="743"/>
    <w:uiPriority w:val="9"/>
    <w:rPr>
      <w:rFonts w:ascii="Arial" w:hAnsi="Arial" w:eastAsia="Arial" w:cs="Arial"/>
      <w:i/>
      <w:iCs/>
      <w:sz w:val="21"/>
      <w:szCs w:val="21"/>
    </w:rPr>
  </w:style>
  <w:style w:type="paragraph" w:styleId="745">
    <w:name w:val="Title"/>
    <w:basedOn w:val="903"/>
    <w:next w:val="903"/>
    <w:link w:val="74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46">
    <w:name w:val="Title Char"/>
    <w:link w:val="745"/>
    <w:uiPriority w:val="10"/>
    <w:rPr>
      <w:sz w:val="48"/>
      <w:szCs w:val="48"/>
    </w:rPr>
  </w:style>
  <w:style w:type="paragraph" w:styleId="747">
    <w:name w:val="Subtitle"/>
    <w:basedOn w:val="903"/>
    <w:next w:val="903"/>
    <w:link w:val="748"/>
    <w:uiPriority w:val="11"/>
    <w:qFormat/>
    <w:pPr>
      <w:spacing w:before="200" w:after="200"/>
    </w:pPr>
    <w:rPr>
      <w:sz w:val="24"/>
      <w:szCs w:val="24"/>
    </w:rPr>
  </w:style>
  <w:style w:type="character" w:styleId="748">
    <w:name w:val="Subtitle Char"/>
    <w:link w:val="747"/>
    <w:uiPriority w:val="11"/>
    <w:rPr>
      <w:sz w:val="24"/>
      <w:szCs w:val="24"/>
    </w:rPr>
  </w:style>
  <w:style w:type="paragraph" w:styleId="749">
    <w:name w:val="Quote"/>
    <w:basedOn w:val="903"/>
    <w:next w:val="903"/>
    <w:link w:val="750"/>
    <w:uiPriority w:val="29"/>
    <w:qFormat/>
    <w:pPr>
      <w:ind w:left="720" w:right="720"/>
    </w:pPr>
    <w:rPr>
      <w:i/>
    </w:rPr>
  </w:style>
  <w:style w:type="character" w:styleId="750">
    <w:name w:val="Quote Char"/>
    <w:link w:val="749"/>
    <w:uiPriority w:val="29"/>
    <w:rPr>
      <w:i/>
    </w:rPr>
  </w:style>
  <w:style w:type="paragraph" w:styleId="751">
    <w:name w:val="Intense Quote"/>
    <w:basedOn w:val="903"/>
    <w:next w:val="903"/>
    <w:link w:val="75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52">
    <w:name w:val="Intense Quote Char"/>
    <w:link w:val="751"/>
    <w:uiPriority w:val="30"/>
    <w:rPr>
      <w:i/>
    </w:rPr>
  </w:style>
  <w:style w:type="paragraph" w:styleId="753">
    <w:name w:val="Header"/>
    <w:basedOn w:val="903"/>
    <w:link w:val="75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4">
    <w:name w:val="Header Char"/>
    <w:link w:val="753"/>
    <w:uiPriority w:val="99"/>
  </w:style>
  <w:style w:type="paragraph" w:styleId="755">
    <w:name w:val="Footer"/>
    <w:basedOn w:val="903"/>
    <w:link w:val="75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56">
    <w:name w:val="Footer Char"/>
    <w:link w:val="755"/>
    <w:uiPriority w:val="99"/>
  </w:style>
  <w:style w:type="paragraph" w:styleId="757">
    <w:name w:val="Caption"/>
    <w:basedOn w:val="903"/>
    <w:next w:val="90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58">
    <w:name w:val="Caption Char"/>
    <w:basedOn w:val="757"/>
    <w:link w:val="755"/>
    <w:uiPriority w:val="99"/>
  </w:style>
  <w:style w:type="table" w:styleId="759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0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61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2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63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64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66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8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9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0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1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2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93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94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95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96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97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98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99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00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01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02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803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804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805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806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7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8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23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24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25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26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27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28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29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7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8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9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0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1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2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43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4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5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6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7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8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9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50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51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52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53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54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55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56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57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8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59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60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61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62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63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64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5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66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67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68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69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0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71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72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73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74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75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76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77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78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79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80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81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82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83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84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85">
    <w:name w:val="Hyperlink"/>
    <w:uiPriority w:val="99"/>
    <w:unhideWhenUsed/>
    <w:rPr>
      <w:color w:val="0000ff" w:themeColor="hyperlink"/>
      <w:u w:val="single"/>
    </w:rPr>
  </w:style>
  <w:style w:type="paragraph" w:styleId="886">
    <w:name w:val="footnote text"/>
    <w:basedOn w:val="903"/>
    <w:link w:val="887"/>
    <w:uiPriority w:val="99"/>
    <w:semiHidden/>
    <w:unhideWhenUsed/>
    <w:pPr>
      <w:spacing w:after="40" w:line="240" w:lineRule="auto"/>
    </w:pPr>
    <w:rPr>
      <w:sz w:val="18"/>
    </w:rPr>
  </w:style>
  <w:style w:type="character" w:styleId="887">
    <w:name w:val="Footnote Text Char"/>
    <w:link w:val="886"/>
    <w:uiPriority w:val="99"/>
    <w:rPr>
      <w:sz w:val="18"/>
    </w:rPr>
  </w:style>
  <w:style w:type="character" w:styleId="888">
    <w:name w:val="footnote reference"/>
    <w:uiPriority w:val="99"/>
    <w:unhideWhenUsed/>
    <w:rPr>
      <w:vertAlign w:val="superscript"/>
    </w:rPr>
  </w:style>
  <w:style w:type="paragraph" w:styleId="889">
    <w:name w:val="endnote text"/>
    <w:basedOn w:val="903"/>
    <w:link w:val="890"/>
    <w:uiPriority w:val="99"/>
    <w:semiHidden/>
    <w:unhideWhenUsed/>
    <w:pPr>
      <w:spacing w:after="0" w:line="240" w:lineRule="auto"/>
    </w:pPr>
    <w:rPr>
      <w:sz w:val="20"/>
    </w:rPr>
  </w:style>
  <w:style w:type="character" w:styleId="890">
    <w:name w:val="Endnote Text Char"/>
    <w:link w:val="889"/>
    <w:uiPriority w:val="99"/>
    <w:rPr>
      <w:sz w:val="20"/>
    </w:rPr>
  </w:style>
  <w:style w:type="character" w:styleId="891">
    <w:name w:val="endnote reference"/>
    <w:uiPriority w:val="99"/>
    <w:semiHidden/>
    <w:unhideWhenUsed/>
    <w:rPr>
      <w:vertAlign w:val="superscript"/>
    </w:rPr>
  </w:style>
  <w:style w:type="paragraph" w:styleId="892">
    <w:name w:val="toc 1"/>
    <w:basedOn w:val="903"/>
    <w:next w:val="903"/>
    <w:uiPriority w:val="39"/>
    <w:unhideWhenUsed/>
    <w:pPr>
      <w:ind w:left="0" w:right="0" w:firstLine="0"/>
      <w:spacing w:after="57"/>
    </w:pPr>
  </w:style>
  <w:style w:type="paragraph" w:styleId="893">
    <w:name w:val="toc 2"/>
    <w:basedOn w:val="903"/>
    <w:next w:val="903"/>
    <w:uiPriority w:val="39"/>
    <w:unhideWhenUsed/>
    <w:pPr>
      <w:ind w:left="283" w:right="0" w:firstLine="0"/>
      <w:spacing w:after="57"/>
    </w:pPr>
  </w:style>
  <w:style w:type="paragraph" w:styleId="894">
    <w:name w:val="toc 3"/>
    <w:basedOn w:val="903"/>
    <w:next w:val="903"/>
    <w:uiPriority w:val="39"/>
    <w:unhideWhenUsed/>
    <w:pPr>
      <w:ind w:left="567" w:right="0" w:firstLine="0"/>
      <w:spacing w:after="57"/>
    </w:pPr>
  </w:style>
  <w:style w:type="paragraph" w:styleId="895">
    <w:name w:val="toc 4"/>
    <w:basedOn w:val="903"/>
    <w:next w:val="903"/>
    <w:uiPriority w:val="39"/>
    <w:unhideWhenUsed/>
    <w:pPr>
      <w:ind w:left="850" w:right="0" w:firstLine="0"/>
      <w:spacing w:after="57"/>
    </w:pPr>
  </w:style>
  <w:style w:type="paragraph" w:styleId="896">
    <w:name w:val="toc 5"/>
    <w:basedOn w:val="903"/>
    <w:next w:val="903"/>
    <w:uiPriority w:val="39"/>
    <w:unhideWhenUsed/>
    <w:pPr>
      <w:ind w:left="1134" w:right="0" w:firstLine="0"/>
      <w:spacing w:after="57"/>
    </w:pPr>
  </w:style>
  <w:style w:type="paragraph" w:styleId="897">
    <w:name w:val="toc 6"/>
    <w:basedOn w:val="903"/>
    <w:next w:val="903"/>
    <w:uiPriority w:val="39"/>
    <w:unhideWhenUsed/>
    <w:pPr>
      <w:ind w:left="1417" w:right="0" w:firstLine="0"/>
      <w:spacing w:after="57"/>
    </w:pPr>
  </w:style>
  <w:style w:type="paragraph" w:styleId="898">
    <w:name w:val="toc 7"/>
    <w:basedOn w:val="903"/>
    <w:next w:val="903"/>
    <w:uiPriority w:val="39"/>
    <w:unhideWhenUsed/>
    <w:pPr>
      <w:ind w:left="1701" w:right="0" w:firstLine="0"/>
      <w:spacing w:after="57"/>
    </w:pPr>
  </w:style>
  <w:style w:type="paragraph" w:styleId="899">
    <w:name w:val="toc 8"/>
    <w:basedOn w:val="903"/>
    <w:next w:val="903"/>
    <w:uiPriority w:val="39"/>
    <w:unhideWhenUsed/>
    <w:pPr>
      <w:ind w:left="1984" w:right="0" w:firstLine="0"/>
      <w:spacing w:after="57"/>
    </w:pPr>
  </w:style>
  <w:style w:type="paragraph" w:styleId="900">
    <w:name w:val="toc 9"/>
    <w:basedOn w:val="903"/>
    <w:next w:val="903"/>
    <w:uiPriority w:val="39"/>
    <w:unhideWhenUsed/>
    <w:pPr>
      <w:ind w:left="2268" w:right="0" w:firstLine="0"/>
      <w:spacing w:after="57"/>
    </w:pPr>
  </w:style>
  <w:style w:type="paragraph" w:styleId="901">
    <w:name w:val="TOC Heading"/>
    <w:uiPriority w:val="39"/>
    <w:unhideWhenUsed/>
  </w:style>
  <w:style w:type="paragraph" w:styleId="902">
    <w:name w:val="table of figures"/>
    <w:basedOn w:val="903"/>
    <w:next w:val="903"/>
    <w:uiPriority w:val="99"/>
    <w:unhideWhenUsed/>
    <w:pPr>
      <w:spacing w:after="0" w:afterAutospacing="0"/>
    </w:pPr>
  </w:style>
  <w:style w:type="paragraph" w:styleId="903" w:default="1">
    <w:name w:val="Normal"/>
    <w:next w:val="903"/>
    <w:link w:val="903"/>
    <w:qFormat/>
    <w:rPr>
      <w:sz w:val="24"/>
      <w:szCs w:val="24"/>
      <w:lang w:val="ru-RU" w:eastAsia="ar-SA" w:bidi="ar-SA"/>
    </w:rPr>
  </w:style>
  <w:style w:type="paragraph" w:styleId="904">
    <w:name w:val="Заголовок 1"/>
    <w:basedOn w:val="903"/>
    <w:next w:val="903"/>
    <w:link w:val="947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  <w:lang w:val="en-US"/>
    </w:rPr>
  </w:style>
  <w:style w:type="paragraph" w:styleId="905">
    <w:name w:val="Заголовок 2"/>
    <w:basedOn w:val="903"/>
    <w:next w:val="903"/>
    <w:link w:val="946"/>
    <w:uiPriority w:val="9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906">
    <w:name w:val="Заголовок 3"/>
    <w:basedOn w:val="903"/>
    <w:next w:val="903"/>
    <w:link w:val="970"/>
    <w:uiPriority w:val="9"/>
    <w:qFormat/>
    <w:pPr>
      <w:keepNext/>
      <w:spacing w:before="240" w:after="60"/>
      <w:outlineLvl w:val="2"/>
    </w:pPr>
    <w:rPr>
      <w:rFonts w:ascii="Cambria" w:hAnsi="Cambria" w:eastAsia="Times New Roman" w:cs="Times New Roman"/>
      <w:b/>
      <w:bCs/>
      <w:sz w:val="26"/>
      <w:szCs w:val="26"/>
    </w:rPr>
  </w:style>
  <w:style w:type="paragraph" w:styleId="907">
    <w:name w:val="Заголовок 4"/>
    <w:basedOn w:val="903"/>
    <w:next w:val="907"/>
    <w:link w:val="931"/>
    <w:uiPriority w:val="9"/>
    <w:qFormat/>
    <w:pPr>
      <w:spacing w:before="100" w:beforeAutospacing="1" w:after="100" w:afterAutospacing="1"/>
      <w:outlineLvl w:val="3"/>
    </w:pPr>
    <w:rPr>
      <w:b/>
      <w:bCs/>
      <w:lang w:val="en-US" w:eastAsia="en-US"/>
    </w:rPr>
  </w:style>
  <w:style w:type="paragraph" w:styleId="908">
    <w:name w:val="Заголовок 6"/>
    <w:basedOn w:val="903"/>
    <w:next w:val="903"/>
    <w:link w:val="903"/>
    <w:qFormat/>
    <w:pPr>
      <w:spacing w:before="240" w:after="60"/>
      <w:outlineLvl w:val="5"/>
    </w:pPr>
    <w:rPr>
      <w:b/>
      <w:bCs/>
      <w:sz w:val="22"/>
      <w:szCs w:val="22"/>
    </w:rPr>
  </w:style>
  <w:style w:type="character" w:styleId="909">
    <w:name w:val="Основной шрифт абзаца"/>
    <w:next w:val="909"/>
    <w:link w:val="903"/>
  </w:style>
  <w:style w:type="table" w:styleId="910">
    <w:name w:val="Обычная таблица"/>
    <w:next w:val="910"/>
    <w:link w:val="903"/>
    <w:uiPriority w:val="99"/>
    <w:semiHidden/>
    <w:unhideWhenUsed/>
    <w:tblPr/>
  </w:style>
  <w:style w:type="numbering" w:styleId="911">
    <w:name w:val="Нет списка"/>
    <w:next w:val="911"/>
    <w:link w:val="903"/>
    <w:uiPriority w:val="99"/>
    <w:semiHidden/>
    <w:unhideWhenUsed/>
  </w:style>
  <w:style w:type="character" w:styleId="912">
    <w:name w:val="Absatz-Standardschriftart"/>
    <w:next w:val="912"/>
    <w:link w:val="903"/>
  </w:style>
  <w:style w:type="character" w:styleId="913">
    <w:name w:val="WW8Num1z0"/>
    <w:next w:val="913"/>
    <w:link w:val="903"/>
    <w:rPr>
      <w:rFonts w:ascii="Symbol" w:hAnsi="Symbol" w:cs="OpenSymbol"/>
    </w:rPr>
  </w:style>
  <w:style w:type="character" w:styleId="914">
    <w:name w:val="WW-Absatz-Standardschriftart"/>
    <w:next w:val="914"/>
    <w:link w:val="903"/>
  </w:style>
  <w:style w:type="character" w:styleId="915">
    <w:name w:val="WW-Absatz-Standardschriftart1"/>
    <w:next w:val="915"/>
    <w:link w:val="903"/>
  </w:style>
  <w:style w:type="character" w:styleId="916">
    <w:name w:val="WW-Absatz-Standardschriftart11"/>
    <w:next w:val="916"/>
    <w:link w:val="903"/>
  </w:style>
  <w:style w:type="character" w:styleId="917">
    <w:name w:val="WW-Absatz-Standardschriftart111"/>
    <w:next w:val="917"/>
    <w:link w:val="903"/>
  </w:style>
  <w:style w:type="character" w:styleId="918">
    <w:name w:val="Основной шрифт абзаца1"/>
    <w:next w:val="918"/>
    <w:link w:val="903"/>
  </w:style>
  <w:style w:type="character" w:styleId="919">
    <w:name w:val="Маркеры списка"/>
    <w:next w:val="919"/>
    <w:link w:val="903"/>
    <w:rPr>
      <w:rFonts w:ascii="OpenSymbol" w:hAnsi="OpenSymbol" w:eastAsia="OpenSymbol" w:cs="OpenSymbol"/>
    </w:rPr>
  </w:style>
  <w:style w:type="character" w:styleId="920">
    <w:name w:val="Строгий"/>
    <w:next w:val="920"/>
    <w:link w:val="903"/>
    <w:uiPriority w:val="22"/>
    <w:qFormat/>
    <w:rPr>
      <w:b/>
      <w:bCs/>
    </w:rPr>
  </w:style>
  <w:style w:type="character" w:styleId="921">
    <w:name w:val="Гиперссылка"/>
    <w:next w:val="921"/>
    <w:link w:val="903"/>
    <w:rPr>
      <w:color w:val="000080"/>
      <w:u w:val="single"/>
      <w:lang w:val="en-US" w:eastAsia="en-US" w:bidi="en-US"/>
    </w:rPr>
  </w:style>
  <w:style w:type="paragraph" w:styleId="922">
    <w:name w:val="Заголовок"/>
    <w:basedOn w:val="903"/>
    <w:next w:val="923"/>
    <w:link w:val="903"/>
    <w:pPr>
      <w:keepNext/>
      <w:spacing w:before="240" w:after="120"/>
    </w:pPr>
    <w:rPr>
      <w:rFonts w:ascii="Arial" w:hAnsi="Arial" w:eastAsia="DejaVu Sans" w:cs="Tahoma"/>
      <w:sz w:val="28"/>
      <w:szCs w:val="28"/>
    </w:rPr>
  </w:style>
  <w:style w:type="paragraph" w:styleId="923">
    <w:name w:val="Основной текст"/>
    <w:basedOn w:val="903"/>
    <w:next w:val="923"/>
    <w:link w:val="903"/>
    <w:pPr>
      <w:spacing w:before="0" w:after="120"/>
    </w:pPr>
  </w:style>
  <w:style w:type="paragraph" w:styleId="924">
    <w:name w:val="Список"/>
    <w:basedOn w:val="923"/>
    <w:next w:val="924"/>
    <w:link w:val="903"/>
    <w:rPr>
      <w:rFonts w:ascii="Arial" w:hAnsi="Arial" w:cs="Tahoma"/>
    </w:rPr>
  </w:style>
  <w:style w:type="paragraph" w:styleId="925">
    <w:name w:val="Название1"/>
    <w:basedOn w:val="903"/>
    <w:next w:val="925"/>
    <w:link w:val="903"/>
    <w:pPr>
      <w:spacing w:before="120" w:after="120"/>
      <w:suppressLineNumbers/>
    </w:pPr>
    <w:rPr>
      <w:rFonts w:ascii="Arial" w:hAnsi="Arial" w:cs="Tahoma"/>
      <w:i/>
      <w:iCs/>
      <w:sz w:val="20"/>
      <w:szCs w:val="24"/>
    </w:rPr>
  </w:style>
  <w:style w:type="paragraph" w:styleId="926">
    <w:name w:val="Указатель1"/>
    <w:basedOn w:val="903"/>
    <w:next w:val="926"/>
    <w:link w:val="903"/>
    <w:pPr>
      <w:suppressLineNumbers/>
    </w:pPr>
    <w:rPr>
      <w:rFonts w:ascii="Arial" w:hAnsi="Arial" w:cs="Tahoma"/>
    </w:rPr>
  </w:style>
  <w:style w:type="paragraph" w:styleId="927">
    <w:name w:val="Содержимое таблицы"/>
    <w:basedOn w:val="903"/>
    <w:next w:val="927"/>
    <w:link w:val="903"/>
    <w:pPr>
      <w:suppressLineNumbers/>
    </w:pPr>
  </w:style>
  <w:style w:type="paragraph" w:styleId="928">
    <w:name w:val="Заголовок таблицы"/>
    <w:basedOn w:val="927"/>
    <w:next w:val="928"/>
    <w:link w:val="903"/>
    <w:pPr>
      <w:jc w:val="center"/>
      <w:suppressLineNumbers/>
    </w:pPr>
    <w:rPr>
      <w:b/>
      <w:bCs/>
    </w:rPr>
  </w:style>
  <w:style w:type="paragraph" w:styleId="929">
    <w:name w:val="Горизонтальная линия"/>
    <w:basedOn w:val="903"/>
    <w:next w:val="923"/>
    <w:link w:val="903"/>
    <w:pPr>
      <w:spacing w:before="0" w:after="283"/>
      <w:pBdr>
        <w:top w:val="none" w:color="000000" w:sz="0" w:space="0"/>
        <w:left w:val="none" w:color="000000" w:sz="0" w:space="0"/>
        <w:bottom w:val="single" w:color="000000" w:sz="1" w:space="0"/>
        <w:right w:val="none" w:color="000000" w:sz="0" w:space="0"/>
      </w:pBdr>
      <w:suppressLineNumbers/>
    </w:pPr>
    <w:rPr>
      <w:sz w:val="12"/>
      <w:szCs w:val="12"/>
    </w:rPr>
  </w:style>
  <w:style w:type="character" w:styleId="930">
    <w:name w:val="head"/>
    <w:basedOn w:val="909"/>
    <w:next w:val="930"/>
    <w:link w:val="903"/>
  </w:style>
  <w:style w:type="character" w:styleId="931">
    <w:name w:val="Заголовок 4 Знак"/>
    <w:next w:val="931"/>
    <w:link w:val="907"/>
    <w:uiPriority w:val="9"/>
    <w:rPr>
      <w:b/>
      <w:bCs/>
      <w:sz w:val="24"/>
      <w:szCs w:val="24"/>
    </w:rPr>
  </w:style>
  <w:style w:type="character" w:styleId="932">
    <w:name w:val="newshead"/>
    <w:basedOn w:val="909"/>
    <w:next w:val="932"/>
    <w:link w:val="903"/>
  </w:style>
  <w:style w:type="character" w:styleId="933">
    <w:name w:val="newsbody"/>
    <w:basedOn w:val="909"/>
    <w:next w:val="933"/>
    <w:link w:val="903"/>
  </w:style>
  <w:style w:type="paragraph" w:styleId="934">
    <w:name w:val="Обычный (веб),Обычный (Web),Обычный (Web)1,Обычный (Web) Знак,Обычный (веб) Знак Знак Знак,Обычный (веб) Знак Знак,Обычный (Web)11,Обычный (веб)1,Обычный (веб)11,Обычный (веб)111 Знак Знак,Обычный (Web) Знак Знак Знак Знак,Обычный (We,Обычный (W"/>
    <w:basedOn w:val="903"/>
    <w:next w:val="934"/>
    <w:link w:val="965"/>
    <w:uiPriority w:val="99"/>
    <w:unhideWhenUsed/>
    <w:qFormat/>
    <w:pPr>
      <w:spacing w:before="100" w:beforeAutospacing="1" w:after="100" w:afterAutospacing="1"/>
    </w:pPr>
    <w:rPr>
      <w:lang w:val="en-US" w:eastAsia="en-US"/>
    </w:rPr>
  </w:style>
  <w:style w:type="paragraph" w:styleId="935">
    <w:name w:val="Текст1"/>
    <w:basedOn w:val="903"/>
    <w:next w:val="935"/>
    <w:link w:val="903"/>
    <w:rPr>
      <w:rFonts w:ascii="Consolas" w:hAnsi="Consolas" w:eastAsia="Calibri"/>
      <w:sz w:val="21"/>
      <w:szCs w:val="21"/>
    </w:rPr>
  </w:style>
  <w:style w:type="paragraph" w:styleId="936">
    <w:name w:val="Верхний колонтитул"/>
    <w:basedOn w:val="903"/>
    <w:next w:val="936"/>
    <w:link w:val="937"/>
    <w:uiPriority w:val="99"/>
    <w:semiHidden/>
    <w:unhideWhenUsed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937">
    <w:name w:val="Верхний колонтитул Знак"/>
    <w:next w:val="937"/>
    <w:link w:val="936"/>
    <w:uiPriority w:val="99"/>
    <w:semiHidden/>
    <w:rPr>
      <w:sz w:val="24"/>
      <w:szCs w:val="24"/>
      <w:lang w:eastAsia="ar-SA"/>
    </w:rPr>
  </w:style>
  <w:style w:type="paragraph" w:styleId="938">
    <w:name w:val="Нижний колонтитул"/>
    <w:basedOn w:val="903"/>
    <w:next w:val="938"/>
    <w:link w:val="939"/>
    <w:uiPriority w:val="99"/>
    <w:unhideWhenUsed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939">
    <w:name w:val="Нижний колонтитул Знак"/>
    <w:next w:val="939"/>
    <w:link w:val="938"/>
    <w:uiPriority w:val="99"/>
    <w:rPr>
      <w:sz w:val="24"/>
      <w:szCs w:val="24"/>
      <w:lang w:eastAsia="ar-SA"/>
    </w:rPr>
  </w:style>
  <w:style w:type="paragraph" w:styleId="940">
    <w:name w:val="Текст выноски"/>
    <w:basedOn w:val="903"/>
    <w:next w:val="940"/>
    <w:link w:val="941"/>
    <w:uiPriority w:val="99"/>
    <w:semiHidden/>
    <w:unhideWhenUsed/>
    <w:rPr>
      <w:rFonts w:ascii="Tahoma" w:hAnsi="Tahoma"/>
      <w:sz w:val="16"/>
      <w:szCs w:val="16"/>
      <w:lang w:val="en-US"/>
    </w:rPr>
  </w:style>
  <w:style w:type="character" w:styleId="941">
    <w:name w:val="Текст выноски Знак"/>
    <w:next w:val="941"/>
    <w:link w:val="940"/>
    <w:uiPriority w:val="99"/>
    <w:semiHidden/>
    <w:rPr>
      <w:rFonts w:ascii="Tahoma" w:hAnsi="Tahoma" w:cs="Tahoma"/>
      <w:sz w:val="16"/>
      <w:szCs w:val="16"/>
      <w:lang w:eastAsia="ar-SA"/>
    </w:rPr>
  </w:style>
  <w:style w:type="paragraph" w:styleId="942">
    <w:name w:val="Знак Знак Знак Знак"/>
    <w:basedOn w:val="903"/>
    <w:next w:val="942"/>
    <w:link w:val="903"/>
    <w:pPr>
      <w:jc w:val="both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table" w:styleId="943">
    <w:name w:val="Сетка таблицы"/>
    <w:basedOn w:val="910"/>
    <w:next w:val="943"/>
    <w:link w:val="903"/>
    <w:uiPriority w:val="59"/>
    <w:rPr>
      <w:rFonts w:ascii="Calibri" w:hAnsi="Calibri" w:eastAsia="Calibri" w:cs="Times New Roman"/>
      <w:sz w:val="22"/>
      <w:szCs w:val="22"/>
      <w:lang w:eastAsia="en-US"/>
    </w:rPr>
    <w:tblPr/>
  </w:style>
  <w:style w:type="paragraph" w:styleId="944">
    <w:name w:val="Название"/>
    <w:basedOn w:val="903"/>
    <w:next w:val="944"/>
    <w:link w:val="945"/>
    <w:qFormat/>
    <w:pPr>
      <w:jc w:val="center"/>
    </w:pPr>
    <w:rPr>
      <w:b/>
      <w:sz w:val="32"/>
      <w:szCs w:val="20"/>
      <w:lang w:val="en-US" w:eastAsia="en-US"/>
    </w:rPr>
  </w:style>
  <w:style w:type="character" w:styleId="945">
    <w:name w:val="Название Знак"/>
    <w:next w:val="945"/>
    <w:link w:val="944"/>
    <w:rPr>
      <w:b/>
      <w:sz w:val="32"/>
    </w:rPr>
  </w:style>
  <w:style w:type="character" w:styleId="946">
    <w:name w:val="Заголовок 2 Знак"/>
    <w:next w:val="946"/>
    <w:link w:val="905"/>
    <w:uiPriority w:val="9"/>
    <w:rPr>
      <w:rFonts w:ascii="Cambria" w:hAnsi="Cambria" w:eastAsia="Times New Roman" w:cs="Times New Roman"/>
      <w:b/>
      <w:bCs/>
      <w:i/>
      <w:iCs/>
      <w:sz w:val="28"/>
      <w:szCs w:val="28"/>
      <w:lang w:eastAsia="ar-SA"/>
    </w:rPr>
  </w:style>
  <w:style w:type="character" w:styleId="947">
    <w:name w:val="Заголовок 1 Знак"/>
    <w:next w:val="947"/>
    <w:link w:val="904"/>
    <w:uiPriority w:val="9"/>
    <w:rPr>
      <w:rFonts w:ascii="Cambria" w:hAnsi="Cambria" w:eastAsia="Times New Roman" w:cs="Times New Roman"/>
      <w:b/>
      <w:bCs/>
      <w:sz w:val="32"/>
      <w:szCs w:val="32"/>
      <w:lang w:eastAsia="ar-SA"/>
    </w:rPr>
  </w:style>
  <w:style w:type="character" w:styleId="948">
    <w:name w:val="city"/>
    <w:next w:val="948"/>
    <w:link w:val="903"/>
  </w:style>
  <w:style w:type="character" w:styleId="949">
    <w:name w:val="header_text_2"/>
    <w:next w:val="949"/>
    <w:link w:val="903"/>
  </w:style>
  <w:style w:type="character" w:styleId="950">
    <w:name w:val="header_text_3"/>
    <w:next w:val="950"/>
    <w:link w:val="903"/>
  </w:style>
  <w:style w:type="character" w:styleId="951">
    <w:name w:val="text"/>
    <w:next w:val="951"/>
    <w:link w:val="903"/>
  </w:style>
  <w:style w:type="character" w:styleId="952">
    <w:name w:val="phone"/>
    <w:next w:val="952"/>
    <w:link w:val="903"/>
  </w:style>
  <w:style w:type="paragraph" w:styleId="953">
    <w:name w:val="Основной текст 2"/>
    <w:basedOn w:val="903"/>
    <w:next w:val="953"/>
    <w:link w:val="954"/>
    <w:uiPriority w:val="99"/>
    <w:unhideWhenUsed/>
    <w:pPr>
      <w:spacing w:after="120" w:line="480" w:lineRule="auto"/>
    </w:pPr>
    <w:rPr>
      <w:lang w:val="en-US"/>
    </w:rPr>
  </w:style>
  <w:style w:type="character" w:styleId="954">
    <w:name w:val="Основной текст 2 Знак"/>
    <w:next w:val="954"/>
    <w:link w:val="953"/>
    <w:uiPriority w:val="99"/>
    <w:rPr>
      <w:sz w:val="24"/>
      <w:szCs w:val="24"/>
      <w:lang w:val="en-US" w:eastAsia="ar-SA"/>
    </w:rPr>
  </w:style>
  <w:style w:type="character" w:styleId="955">
    <w:name w:val="Просмотренная гиперссылка"/>
    <w:next w:val="955"/>
    <w:link w:val="903"/>
    <w:uiPriority w:val="99"/>
    <w:semiHidden/>
    <w:unhideWhenUsed/>
    <w:rPr>
      <w:color w:val="800080"/>
      <w:u w:val="single"/>
    </w:rPr>
  </w:style>
  <w:style w:type="table" w:styleId="956">
    <w:name w:val="Сетка таблицы1"/>
    <w:basedOn w:val="910"/>
    <w:next w:val="943"/>
    <w:link w:val="903"/>
    <w:uiPriority w:val="59"/>
    <w:rPr>
      <w:rFonts w:ascii="Calibri" w:hAnsi="Calibri" w:eastAsia="Calibri" w:cs="Times New Roman"/>
      <w:sz w:val="22"/>
      <w:szCs w:val="22"/>
      <w:lang w:eastAsia="en-US"/>
    </w:rPr>
    <w:tblPr/>
  </w:style>
  <w:style w:type="character" w:styleId="957">
    <w:name w:val="apple-converted-space"/>
    <w:next w:val="957"/>
    <w:link w:val="903"/>
  </w:style>
  <w:style w:type="paragraph" w:styleId="958">
    <w:name w:val="Абзац списка"/>
    <w:basedOn w:val="903"/>
    <w:next w:val="958"/>
    <w:link w:val="969"/>
    <w:uiPriority w:val="99"/>
    <w:qFormat/>
    <w:pPr>
      <w:contextualSpacing/>
      <w:ind w:left="720"/>
    </w:pPr>
    <w:rPr>
      <w:lang w:val="en-US" w:eastAsia="en-US"/>
    </w:rPr>
  </w:style>
  <w:style w:type="paragraph" w:styleId="959">
    <w:name w:val="Обычный1"/>
    <w:next w:val="959"/>
    <w:link w:val="903"/>
    <w:pPr>
      <w:ind w:firstLine="500"/>
      <w:jc w:val="both"/>
      <w:spacing w:line="259" w:lineRule="auto"/>
      <w:widowControl w:val="off"/>
    </w:pPr>
    <w:rPr>
      <w:sz w:val="28"/>
      <w:lang w:val="ru-RU" w:eastAsia="ru-RU" w:bidi="ar-SA"/>
    </w:rPr>
  </w:style>
  <w:style w:type="paragraph" w:styleId="960">
    <w:name w:val="МОЕ"/>
    <w:basedOn w:val="903"/>
    <w:next w:val="960"/>
    <w:link w:val="903"/>
    <w:pPr>
      <w:ind w:firstLine="709"/>
      <w:jc w:val="both"/>
      <w:widowControl w:val="off"/>
    </w:pPr>
    <w:rPr>
      <w:spacing w:val="10"/>
      <w:sz w:val="28"/>
      <w:szCs w:val="28"/>
      <w:lang w:eastAsia="ru-RU"/>
    </w:rPr>
  </w:style>
  <w:style w:type="paragraph" w:styleId="961">
    <w:name w:val="Основной текст с отступом"/>
    <w:basedOn w:val="903"/>
    <w:next w:val="961"/>
    <w:link w:val="962"/>
    <w:pPr>
      <w:ind w:left="283"/>
      <w:spacing w:after="120"/>
    </w:pPr>
    <w:rPr>
      <w:lang w:val="en-US" w:eastAsia="zh-CN"/>
    </w:rPr>
  </w:style>
  <w:style w:type="character" w:styleId="962">
    <w:name w:val="Основной текст с отступом Знак"/>
    <w:next w:val="962"/>
    <w:link w:val="961"/>
    <w:rPr>
      <w:sz w:val="24"/>
      <w:szCs w:val="24"/>
      <w:lang w:eastAsia="zh-CN"/>
    </w:rPr>
  </w:style>
  <w:style w:type="paragraph" w:styleId="963">
    <w:name w:val="ConsTitle"/>
    <w:next w:val="963"/>
    <w:link w:val="903"/>
    <w:pPr>
      <w:ind w:right="19772"/>
      <w:widowControl w:val="off"/>
    </w:pPr>
    <w:rPr>
      <w:rFonts w:ascii="Arial" w:hAnsi="Arial" w:eastAsia="Arial" w:cs="Arial"/>
      <w:b/>
      <w:sz w:val="16"/>
      <w:lang w:val="ru-RU" w:eastAsia="zh-CN" w:bidi="ar-SA"/>
    </w:rPr>
  </w:style>
  <w:style w:type="paragraph" w:styleId="964">
    <w:name w:val="Базовый"/>
    <w:next w:val="964"/>
    <w:link w:val="903"/>
    <w:pPr>
      <w:spacing w:after="200" w:line="276" w:lineRule="auto"/>
      <w:widowControl w:val="off"/>
    </w:pPr>
    <w:rPr>
      <w:rFonts w:cs="Tahoma"/>
      <w:color w:val="00000a"/>
      <w:sz w:val="24"/>
      <w:szCs w:val="24"/>
      <w:lang w:val="ru-RU" w:eastAsia="ru-RU" w:bidi="ar-SA"/>
    </w:rPr>
  </w:style>
  <w:style w:type="character" w:styleId="965">
    <w:name w:val="Обычный (веб) Знак,Обычный (Web) Знак1,Обычный (Web)1 Знак,Обычный (Web) Знак Знак,Обычный (веб) Знак Знак Знак Знак,Обычный (веб) Знак Знак Знак1,Обычный (Web)11 Знак,Обычный (веб)1 Знак,Обычный (веб)11 Знак,Обычный (веб)111 Знак Знак Знак"/>
    <w:next w:val="965"/>
    <w:link w:val="934"/>
    <w:uiPriority w:val="99"/>
    <w:rPr>
      <w:sz w:val="24"/>
      <w:szCs w:val="24"/>
    </w:rPr>
  </w:style>
  <w:style w:type="paragraph" w:styleId="966">
    <w:name w:val="Абзац списка1"/>
    <w:next w:val="966"/>
    <w:link w:val="903"/>
    <w:uiPriority w:val="99"/>
    <w:qFormat/>
    <w:pPr>
      <w:ind w:left="708"/>
    </w:pPr>
    <w:rPr>
      <w:lang w:val="ru-RU" w:eastAsia="zh-CN" w:bidi="ar-SA"/>
    </w:rPr>
  </w:style>
  <w:style w:type="character" w:styleId="967">
    <w:name w:val="Выделение"/>
    <w:next w:val="967"/>
    <w:link w:val="903"/>
    <w:uiPriority w:val="20"/>
    <w:qFormat/>
    <w:rPr>
      <w:i/>
      <w:iCs/>
    </w:rPr>
  </w:style>
  <w:style w:type="paragraph" w:styleId="968">
    <w:name w:val="Цитата1"/>
    <w:basedOn w:val="903"/>
    <w:next w:val="968"/>
    <w:link w:val="903"/>
    <w:pPr>
      <w:ind w:left="34" w:right="24" w:firstLine="845"/>
      <w:jc w:val="both"/>
      <w:spacing w:before="10" w:line="274" w:lineRule="exact"/>
      <w:shd w:val="clear" w:color="auto" w:fill="ffffff"/>
    </w:pPr>
    <w:rPr>
      <w:lang w:eastAsia="zh-CN"/>
    </w:rPr>
  </w:style>
  <w:style w:type="character" w:styleId="969">
    <w:name w:val="Абзац списка Знак"/>
    <w:next w:val="969"/>
    <w:link w:val="958"/>
    <w:uiPriority w:val="99"/>
    <w:rPr>
      <w:sz w:val="24"/>
      <w:szCs w:val="24"/>
    </w:rPr>
  </w:style>
  <w:style w:type="character" w:styleId="970">
    <w:name w:val="Заголовок 3 Знак"/>
    <w:basedOn w:val="909"/>
    <w:next w:val="970"/>
    <w:link w:val="906"/>
    <w:uiPriority w:val="9"/>
    <w:semiHidden/>
    <w:rPr>
      <w:rFonts w:ascii="Cambria" w:hAnsi="Cambria" w:eastAsia="Times New Roman" w:cs="Times New Roman"/>
      <w:b/>
      <w:bCs/>
      <w:sz w:val="26"/>
      <w:szCs w:val="26"/>
      <w:lang w:eastAsia="ar-SA"/>
    </w:rPr>
  </w:style>
  <w:style w:type="character" w:styleId="971">
    <w:name w:val="Font Style13"/>
    <w:next w:val="971"/>
    <w:link w:val="903"/>
    <w:uiPriority w:val="99"/>
    <w:rPr>
      <w:rFonts w:ascii="Times New Roman" w:hAnsi="Times New Roman" w:eastAsia="Times New Roman" w:cs="Times New Roman"/>
      <w:sz w:val="22"/>
      <w:szCs w:val="22"/>
    </w:rPr>
  </w:style>
  <w:style w:type="paragraph" w:styleId="972">
    <w:name w:val="Стиль Первая строка:  095 см"/>
    <w:basedOn w:val="903"/>
    <w:next w:val="972"/>
    <w:link w:val="903"/>
    <w:uiPriority w:val="99"/>
    <w:pPr>
      <w:ind w:firstLine="540"/>
      <w:jc w:val="both"/>
    </w:pPr>
    <w:rPr>
      <w:sz w:val="20"/>
      <w:szCs w:val="20"/>
      <w:lang w:eastAsia="zh-CN"/>
    </w:rPr>
  </w:style>
  <w:style w:type="paragraph" w:styleId="973">
    <w:name w:val="Текст"/>
    <w:basedOn w:val="903"/>
    <w:next w:val="973"/>
    <w:link w:val="974"/>
    <w:unhideWhenUsed/>
    <w:rPr>
      <w:rFonts w:ascii="Consolas" w:hAnsi="Consolas" w:eastAsia="Calibri"/>
      <w:sz w:val="21"/>
      <w:szCs w:val="21"/>
      <w:lang w:eastAsia="en-US"/>
    </w:rPr>
  </w:style>
  <w:style w:type="character" w:styleId="974">
    <w:name w:val="Текст Знак"/>
    <w:basedOn w:val="909"/>
    <w:next w:val="974"/>
    <w:link w:val="973"/>
    <w:rPr>
      <w:rFonts w:ascii="Consolas" w:hAnsi="Consolas" w:eastAsia="Calibri"/>
      <w:sz w:val="21"/>
      <w:szCs w:val="21"/>
      <w:lang w:eastAsia="en-US"/>
    </w:rPr>
  </w:style>
  <w:style w:type="paragraph" w:styleId="975">
    <w:name w:val="Абзац списка2"/>
    <w:basedOn w:val="903"/>
    <w:next w:val="975"/>
    <w:link w:val="903"/>
    <w:pPr>
      <w:ind w:left="720"/>
      <w:widowControl w:val="off"/>
    </w:pPr>
    <w:rPr>
      <w:rFonts w:eastAsia="Arial Unicode MS" w:cs="Arial Unicode MS"/>
      <w:lang w:eastAsia="zh-CN" w:bidi="hi-IN"/>
    </w:rPr>
  </w:style>
  <w:style w:type="paragraph" w:styleId="976">
    <w:name w:val="List Paragraph"/>
    <w:basedOn w:val="903"/>
    <w:next w:val="976"/>
    <w:link w:val="982"/>
    <w:pPr>
      <w:contextualSpacing/>
      <w:ind w:left="720"/>
    </w:pPr>
    <w:rPr>
      <w:rFonts w:eastAsia="SimSun"/>
      <w:lang w:eastAsia="zh-CN"/>
    </w:rPr>
  </w:style>
  <w:style w:type="paragraph" w:styleId="977">
    <w:name w:val="Основной текст 21"/>
    <w:basedOn w:val="903"/>
    <w:next w:val="977"/>
    <w:link w:val="903"/>
    <w:pPr>
      <w:jc w:val="both"/>
    </w:pPr>
    <w:rPr>
      <w:b/>
      <w:bCs/>
      <w:sz w:val="26"/>
      <w:lang w:eastAsia="zh-CN"/>
    </w:rPr>
  </w:style>
  <w:style w:type="paragraph" w:styleId="978">
    <w:name w:val="Основной текст 32"/>
    <w:basedOn w:val="903"/>
    <w:next w:val="978"/>
    <w:link w:val="903"/>
    <w:pPr>
      <w:jc w:val="both"/>
    </w:pPr>
    <w:rPr>
      <w:sz w:val="26"/>
      <w:lang w:eastAsia="zh-CN"/>
    </w:rPr>
  </w:style>
  <w:style w:type="paragraph" w:styleId="979">
    <w:name w:val="Без интервала"/>
    <w:next w:val="979"/>
    <w:link w:val="903"/>
    <w:qFormat/>
    <w:rPr>
      <w:sz w:val="24"/>
      <w:szCs w:val="24"/>
      <w:lang w:val="ru-RU" w:eastAsia="zh-CN" w:bidi="ar-SA"/>
    </w:rPr>
  </w:style>
  <w:style w:type="paragraph" w:styleId="980">
    <w:name w:val="No Spacing1"/>
    <w:next w:val="980"/>
    <w:link w:val="903"/>
    <w:rPr>
      <w:rFonts w:ascii="Calibri" w:hAnsi="Calibri" w:eastAsia="Calibri"/>
      <w:sz w:val="22"/>
      <w:szCs w:val="22"/>
      <w:lang w:val="ru-RU" w:eastAsia="ar-SA" w:bidi="ar-SA"/>
    </w:rPr>
  </w:style>
  <w:style w:type="character" w:styleId="981">
    <w:name w:val="Plain Text Char"/>
    <w:basedOn w:val="909"/>
    <w:next w:val="981"/>
    <w:link w:val="903"/>
    <w:rPr>
      <w:rFonts w:ascii="Consolas" w:hAnsi="Consolas" w:cs="Times New Roman"/>
      <w:sz w:val="21"/>
    </w:rPr>
  </w:style>
  <w:style w:type="character" w:styleId="982">
    <w:name w:val="List Paragraph Char"/>
    <w:next w:val="982"/>
    <w:link w:val="976"/>
    <w:rPr>
      <w:rFonts w:eastAsia="SimSun"/>
      <w:sz w:val="24"/>
      <w:szCs w:val="24"/>
      <w:lang w:val="ru-RU" w:eastAsia="zh-CN" w:bidi="ar-SA"/>
    </w:rPr>
  </w:style>
  <w:style w:type="paragraph" w:styleId="983">
    <w:name w:val="western"/>
    <w:basedOn w:val="903"/>
    <w:next w:val="983"/>
    <w:link w:val="903"/>
    <w:pPr>
      <w:spacing w:before="100" w:beforeAutospacing="1" w:after="142"/>
    </w:pPr>
    <w:rPr>
      <w:rFonts w:ascii="Liberation Serif" w:hAnsi="Liberation Serif" w:eastAsia="Calibri" w:cs="Liberation Serif"/>
      <w:color w:val="000000"/>
      <w:lang w:eastAsia="ru-RU"/>
    </w:rPr>
  </w:style>
  <w:style w:type="paragraph" w:styleId="984">
    <w:name w:val="No Spacing"/>
    <w:next w:val="984"/>
    <w:link w:val="903"/>
    <w:rPr>
      <w:rFonts w:ascii="Calibri" w:hAnsi="Calibri" w:eastAsia="Calibri" w:cs="Calibri"/>
      <w:sz w:val="22"/>
      <w:szCs w:val="22"/>
      <w:lang w:val="ru-RU" w:eastAsia="zh-CN" w:bidi="ar-SA"/>
    </w:rPr>
  </w:style>
  <w:style w:type="paragraph" w:styleId="985">
    <w:name w:val="ConsNormal"/>
    <w:next w:val="985"/>
    <w:link w:val="903"/>
    <w:pPr>
      <w:ind w:firstLine="720"/>
      <w:widowControl w:val="off"/>
    </w:pPr>
    <w:rPr>
      <w:rFonts w:ascii="Arial" w:hAnsi="Arial" w:eastAsia="Arial" w:cs="Arial"/>
      <w:lang w:val="ru-RU" w:eastAsia="zh-CN" w:bidi="ar-SA"/>
    </w:rPr>
  </w:style>
  <w:style w:type="paragraph" w:styleId="986">
    <w:name w:val="Стандартный HTML"/>
    <w:basedOn w:val="903"/>
    <w:next w:val="986"/>
    <w:link w:val="903"/>
    <w:pPr>
      <w:widowControl w:val="off"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  <w:lang w:eastAsia="zh-CN"/>
    </w:rPr>
  </w:style>
  <w:style w:type="paragraph" w:styleId="987">
    <w:name w:val="Основной текст с отступом 2"/>
    <w:basedOn w:val="903"/>
    <w:next w:val="987"/>
    <w:link w:val="903"/>
    <w:pPr>
      <w:ind w:left="283"/>
      <w:spacing w:after="120" w:line="480" w:lineRule="auto"/>
    </w:pPr>
  </w:style>
  <w:style w:type="paragraph" w:styleId="988">
    <w:name w:val="textdoc"/>
    <w:basedOn w:val="903"/>
    <w:next w:val="988"/>
    <w:link w:val="903"/>
    <w:pPr>
      <w:spacing w:before="100" w:beforeAutospacing="1" w:after="100" w:afterAutospacing="1"/>
    </w:pPr>
    <w:rPr>
      <w:rFonts w:eastAsia="Batang"/>
      <w:lang w:eastAsia="ko-KR" w:bidi="hi-IN"/>
    </w:rPr>
  </w:style>
  <w:style w:type="character" w:styleId="989">
    <w:name w:val="extendedtext-full extended-text__full"/>
    <w:basedOn w:val="909"/>
    <w:next w:val="989"/>
    <w:link w:val="903"/>
    <w:rPr>
      <w:rFonts w:cs="Times New Roman"/>
    </w:rPr>
  </w:style>
  <w:style w:type="character" w:styleId="990">
    <w:name w:val="extendedtext-short extended-text__short"/>
    <w:basedOn w:val="909"/>
    <w:next w:val="990"/>
    <w:link w:val="903"/>
  </w:style>
  <w:style w:type="character" w:styleId="991">
    <w:name w:val="Font Style38"/>
    <w:next w:val="991"/>
    <w:link w:val="903"/>
    <w:rPr>
      <w:rFonts w:ascii="Times New Roman" w:hAnsi="Times New Roman"/>
      <w:sz w:val="22"/>
    </w:rPr>
  </w:style>
  <w:style w:type="character" w:styleId="992" w:default="1">
    <w:name w:val="Default Paragraph Font"/>
    <w:uiPriority w:val="1"/>
    <w:semiHidden/>
    <w:unhideWhenUsed/>
  </w:style>
  <w:style w:type="numbering" w:styleId="993" w:default="1">
    <w:name w:val="No List"/>
    <w:uiPriority w:val="99"/>
    <w:semiHidden/>
    <w:unhideWhenUsed/>
  </w:style>
  <w:style w:type="table" w:styleId="994" w:default="1">
    <w:name w:val="Normal Table"/>
    <w:uiPriority w:val="99"/>
    <w:semiHidden/>
    <w:unhideWhenUsed/>
    <w:tblPr/>
  </w:style>
  <w:style w:type="paragraph" w:styleId="995" w:customStyle="1">
    <w:name w:val="Body Text Indent 2"/>
    <w:link w:val="852"/>
    <w:uiPriority w:val="99"/>
    <w:semiHidden/>
    <w:unhideWhenUsed/>
    <w:pPr>
      <w:contextualSpacing w:val="0"/>
      <w:ind w:left="283" w:right="0" w:firstLine="0"/>
      <w:jc w:val="left"/>
      <w:keepLines w:val="0"/>
      <w:keepNext w:val="0"/>
      <w:pageBreakBefore w:val="0"/>
      <w:spacing w:before="0" w:beforeAutospacing="0" w:after="120" w:afterAutospacing="0" w:line="48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cs="Times New Roman" w:eastAsiaTheme="minorHAnsi"/>
      <w:b w:val="0"/>
      <w:bCs w:val="0"/>
      <w:i w:val="0"/>
      <w:iCs w:val="0"/>
      <w:caps w:val="0"/>
      <w:smallCaps w:val="0"/>
      <w:strike w:val="0"/>
      <w:vanish w:val="0"/>
      <w:color w:val="000000"/>
      <w:spacing w:val="16"/>
      <w:position w:val="0"/>
      <w:sz w:val="28"/>
      <w:szCs w:val="28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package" Target="embeddings/Microsoft_Excel_Worksheet1.xlsx"/><Relationship Id="rId21" Type="http://schemas.openxmlformats.org/officeDocument/2006/relationships/image" Target="media/image11.png"/><Relationship Id="rId22" Type="http://schemas.openxmlformats.org/officeDocument/2006/relationships/hyperlink" Target="https://www.gazprom.ru/about/production/gas-infrastructure-expansion/" TargetMode="External"/><Relationship Id="rId23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Р7-Офис/2024.1.1.373</Application>
  <Company>Hewlett-Packard Company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муниципального района</dc:title>
  <dc:creator>Admin_AIIK</dc:creator>
  <cp:revision>19</cp:revision>
  <dcterms:created xsi:type="dcterms:W3CDTF">2023-04-03T14:28:00Z</dcterms:created>
  <dcterms:modified xsi:type="dcterms:W3CDTF">2024-04-10T07:11:48Z</dcterms:modified>
  <cp:version>786432</cp:version>
</cp:coreProperties>
</file>