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ind w:left="-144" w:right="-766" w:hanging="0"/>
        <w:jc w:val="center"/>
        <w:rPr/>
      </w:pPr>
      <w:r>
        <w:rPr>
          <w:b/>
          <w:bCs/>
          <w:sz w:val="24"/>
          <w:szCs w:val="24"/>
        </w:rPr>
        <w:t>СОВЕТ ДЕПУТАТОВ</w:t>
      </w:r>
    </w:p>
    <w:p>
      <w:pPr>
        <w:pStyle w:val="Normal"/>
        <w:spacing w:before="0" w:after="0"/>
        <w:ind w:left="357" w:right="-765" w:hanging="0"/>
        <w:rPr/>
      </w:pPr>
      <w:r>
        <w:rPr>
          <w:rFonts w:cs="Times New Roman"/>
          <w:b/>
          <w:sz w:val="28"/>
        </w:rPr>
        <w:t xml:space="preserve">        </w:t>
      </w:r>
      <w:r>
        <w:rPr>
          <w:rFonts w:cs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before="0" w:after="0"/>
        <w:ind w:left="357" w:right="-765" w:hanging="0"/>
        <w:rPr/>
      </w:pPr>
      <w:r>
        <w:rPr>
          <w:rFonts w:cs="Times New Roman"/>
          <w:b/>
          <w:sz w:val="28"/>
        </w:rPr>
        <w:t xml:space="preserve">        </w:t>
      </w:r>
      <w:r>
        <w:rPr>
          <w:rFonts w:cs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14"/>
        <w:ind w:firstLine="709"/>
        <w:jc w:val="center"/>
        <w:rPr>
          <w:b w:val="false"/>
          <w:b w:val="false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 Е Ш Е Н И Е</w:t>
      </w:r>
    </w:p>
    <w:p>
      <w:pPr>
        <w:pStyle w:val="Style15"/>
        <w:rPr>
          <w:b w:val="false"/>
          <w:b w:val="false"/>
        </w:rPr>
      </w:pPr>
      <w:r>
        <w:rPr>
          <w:b w:val="false"/>
        </w:rPr>
      </w:r>
    </w:p>
    <w:p>
      <w:pPr>
        <w:pStyle w:val="Style1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rPr/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24.11.2020                84-гсд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18"/>
          <w:szCs w:val="18"/>
        </w:rPr>
      </w:pPr>
      <w:r>
        <w:rPr>
          <w:rFonts w:cs="Times New Roman" w:ascii="Times New Roman" w:hAnsi="Times New Roman"/>
          <w:b w:val="false"/>
          <w:sz w:val="18"/>
          <w:szCs w:val="18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18"/>
          <w:szCs w:val="18"/>
        </w:rPr>
      </w:pPr>
      <w:r>
        <w:rPr>
          <w:rFonts w:cs="Times New Roman" w:ascii="Times New Roman" w:hAnsi="Times New Roman"/>
          <w:b w:val="false"/>
          <w:sz w:val="18"/>
          <w:szCs w:val="1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порядка определения  размера арендной платы за использование земельных участков, находящихся в собственности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Сланцевское городское поселение Сланцевского муниципального района Ленинградской области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подпунктом 3 пункта 3 статьи 39.7 Земельного кодекса Российской Федерации и на основании пункта 27 части 2 статьи 20 Устава Сланцевского городского поселения совет депутатов Сланцевского городского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>РЕШИЛ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 w:val="false"/>
          <w:sz w:val="28"/>
          <w:szCs w:val="28"/>
        </w:rPr>
        <w:t>1. Утвердить прилагаемый Порядок определения размера арендной платы за использование земельных участков, находящихся в собственности муниципального образования Сланцевское городское поселение Сланцевского муниципального района Ленинградской области.</w:t>
      </w:r>
    </w:p>
    <w:p>
      <w:pPr>
        <w:pStyle w:val="ConsPlusTitle"/>
        <w:widowControl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sz w:val="28"/>
          <w:szCs w:val="28"/>
        </w:rPr>
        <w:t>2. Признать утратившим силу решение совета депутатов муниципального образования Сланцевское городское поселение Сланцевского муниципального района Ленинградской области от 26.11.2019 г. № 21-гсд «Об утверждении порядка определения  размера арендной платы за использование земельных участков, находящихся в собственности муниципального образования Сланцевское городское поселение Сланцевского  муниципального района Ленинградской области</w:t>
      </w:r>
      <w:r>
        <w:rPr>
          <w:sz w:val="28"/>
          <w:szCs w:val="28"/>
        </w:rPr>
        <w:t>».</w:t>
      </w:r>
    </w:p>
    <w:p>
      <w:pPr>
        <w:pStyle w:val="Normal"/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Опубликовать настоящее решение в газете «Знамя труда».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4. Настоящее решение вступает в силу с 01 января 2021 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5. Контроль за выполнением решения возложить на комиссию совета депутатов по бюджету, налогам и тарифам.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Р.В.Шотт                                                                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 совета депутатов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образования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Сланцевское городское поселение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Сланцевского муниципального района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Ленинградской области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24.11.2020 №84-гсд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ПОРЯДОК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ОПРЕДЕЛЕНИЯ РАЗМЕРА АРЕНДНОЙ ПЛАТЫ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 ИСПОЛЬЗОВАНИЕ ЗЕМЕЛЬНЫХ УЧАСТКОВ, НАХОДЯЩИХСЯ В СОБСТВЕННОСТИ МУНИЦИПАЛЬНОГО ОБРАЗОВАНИЯ СЛАНЦЕВСКОЕ ГОРОДСКОЕ ПОСЕЛЕНИЕ СЛАНЦЕВСКОГО МУНИЦИПАЛЬНОГО РАЙОНА ЛЕНИНГРАДСКОЙ ОБЛАСТИ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13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Предметом регулирования настоящего Порядка является определение размера арендной платы за использование земельных участков, находящихся в собственности муниципального образования Сланцевское городское поселение Сланцевского муниципального района Ленинградской области, предоставленных без проведения торгов.</w:t>
      </w:r>
    </w:p>
    <w:p>
      <w:pPr>
        <w:pStyle w:val="13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Арендная плата за земельный участок определяется в соответствии с его принадлежностью к определенной категории земель, видом разрешенного использования.</w:t>
      </w:r>
    </w:p>
    <w:p>
      <w:pPr>
        <w:pStyle w:val="2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Категория земель, вид разрешенного использования, местоположение земельного участка определяются в соответствии с выпиской из единого государственного реестра недвижимости или правоустанавливающими документами. </w:t>
      </w:r>
    </w:p>
    <w:p>
      <w:pPr>
        <w:pStyle w:val="13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Базовые ставки арендной платы, коэффициенты и их значения установлены в целях определения экономически обоснованной платы за аренду земельных участков.</w:t>
      </w:r>
    </w:p>
    <w:p>
      <w:pPr>
        <w:pStyle w:val="13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Размер арендной платы за земельный участок, устанавливаемый в договоре аренды, определяется в соответствии с порядком определения арендной платы, если иное не установлено действующим законодательством и областным законодательством.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случае, если предметом торгов является годовая величина арендной платы. </w:t>
      </w:r>
    </w:p>
    <w:p>
      <w:pPr>
        <w:pStyle w:val="13"/>
        <w:spacing w:lineRule="auto" w:line="240" w:before="0" w:after="0"/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3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Порядок определения арендной платы </w:t>
      </w:r>
    </w:p>
    <w:p>
      <w:pPr>
        <w:pStyle w:val="13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использование земельного участка</w:t>
      </w:r>
    </w:p>
    <w:p>
      <w:pPr>
        <w:pStyle w:val="13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3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Расчет арендной платы за использование земельного участка осуществляется по формуле:</w:t>
      </w:r>
    </w:p>
    <w:p>
      <w:pPr>
        <w:pStyle w:val="13"/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fldChar w:fldCharType="begin"/>
      </w:r>
      <w:r>
        <w:rPr/>
        <w:instrText>QUOTE</w:instrText>
      </w:r>
      <w:r>
        <w:rPr/>
        <w:fldChar w:fldCharType="separate"/>
      </w:r>
      <w:bookmarkStart w:id="0" w:name="__Fieldmark__2502_1277777844"/>
      <w:r>
        <w:rPr/>
      </w:r>
      <w:r>
        <w:rPr/>
      </w:r>
      <w:r>
        <w:rPr/>
        <w:fldChar w:fldCharType="end"/>
      </w:r>
      <w:bookmarkEnd w:id="0"/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Б</m:t>
        </m:r>
        <m:r>
          <w:rPr>
            <w:rFonts w:ascii="Cambria Math" w:hAnsi="Cambria Math"/>
          </w:rPr>
          <m:t xml:space="preserve">х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х</m:t>
        </m:r>
        <m:r>
          <w:rPr>
            <w:rFonts w:ascii="Cambria Math" w:hAnsi="Cambria Math"/>
          </w:rPr>
          <m:t xml:space="preserve">Кри</m:t>
        </m:r>
        <m:r>
          <w:rPr>
            <w:rFonts w:ascii="Cambria Math" w:hAnsi="Cambria Math"/>
          </w:rPr>
          <m:t xml:space="preserve">х</m:t>
        </m:r>
        <m:r>
          <w:rPr>
            <w:rFonts w:ascii="Cambria Math" w:hAnsi="Cambria Math"/>
          </w:rPr>
          <m:t xml:space="preserve">Кз</m:t>
        </m:r>
        <m:r>
          <w:rPr>
            <w:rFonts w:ascii="Cambria Math" w:hAnsi="Cambria Math"/>
          </w:rPr>
          <m:t xml:space="preserve">х</m:t>
        </m:r>
        <m:r>
          <w:rPr>
            <w:rFonts w:ascii="Cambria Math" w:hAnsi="Cambria Math"/>
          </w:rPr>
          <m:t xml:space="preserve">Ки</m:t>
        </m:r>
        <m:r>
          <w:rPr>
            <w:rFonts w:ascii="Cambria Math" w:hAnsi="Cambria Math"/>
          </w:rPr>
          <m:t xml:space="preserve">х</m:t>
        </m:r>
        <m:r>
          <w:rPr>
            <w:rFonts w:ascii="Cambria Math" w:hAnsi="Cambria Math"/>
          </w:rPr>
          <m:t xml:space="preserve">Ку</m:t>
        </m:r>
        <m:r>
          <w:rPr>
            <w:rFonts w:ascii="Cambria Math" w:hAnsi="Cambria Math"/>
          </w:rPr>
          <m:t xml:space="preserve">х</m:t>
        </m:r>
        <m:r>
          <w:rPr>
            <w:rFonts w:ascii="Cambria Math" w:hAnsi="Cambria Math"/>
          </w:rPr>
          <m:t xml:space="preserve">Кр</m:t>
        </m:r>
      </m:oMath>
      <w:r>
        <w:rPr>
          <w:sz w:val="26"/>
          <w:szCs w:val="26"/>
        </w:rPr>
        <w:t xml:space="preserve">А = Б х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 х Кри х Ку</w:t>
      </w:r>
      <w:r>
        <w:rPr>
          <w:i/>
          <w:sz w:val="26"/>
          <w:szCs w:val="26"/>
        </w:rPr>
        <w:t xml:space="preserve"> ,         </w:t>
      </w:r>
      <w:r>
        <w:rPr>
          <w:sz w:val="26"/>
          <w:szCs w:val="26"/>
        </w:rPr>
        <w:t>где: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А – расчетная сумма арендной платы за использование земельного участка, руб. в год;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Б – базовая ставка арендной платы, руб./кв. м, определяется в соответствии с таблицей 1 к настоящему Порядку;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 – площадь земельного участка, кв. м;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Кри – коэффициент разрешенного использования земельного участка, определяется в соответствии с таблицей 2 к настоящему Порядку;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Ку – коэффициент учета водоохранной зоны и прибрежной защитной полосы, определяемый в соответствии с таблицей 3 к настоящему Порядку. Применяется только для площадей обременений в виде водоохранной зоны и (или) прибрежной защитной полосы (по данным выписки из единого государственного реестра недвижимости) или иных документов.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>
      <w:pPr>
        <w:pStyle w:val="Normal"/>
        <w:ind w:right="-568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568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 = Б х S1 х Кри х Ку + Б х S2 х Кри х Ку … + Б х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п х Кри х Ку, где: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А – расчетная сумма арендной платы за использование земельного участка, руб. в год;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 – базовая ставка арендной платы, руб./кв. м, определяется в соответствии с таблицей 1  к настоящему Порядку;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>площадь объектов каждого вида функционального использования на земельном участке;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Кри – коэффициент разрешенного использования земельного участка, определяется в соответствии с выпиской из единого государственного реестра недвижимости;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 – коэффициент учета водоохранной зоны и прибрежной защитной полосы, определяемый в соответствии с таблицей 3  к настоящему Порядку. Применяется только для площадей обременений в виде водоохранной зоны и (или) прибрежной защитной полосы (по данным выписки из единого государственного реестра недвижимости) или иных документов.</w:t>
      </w:r>
    </w:p>
    <w:p>
      <w:pPr>
        <w:pStyle w:val="13"/>
        <w:tabs>
          <w:tab w:val="left" w:pos="1418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При предоставлении земельных участков в аренду в соответствии с областным законом от 14 октября 2008 года № 105-оз "О бесплатном предоставлении отдельным категориям граждан земельных участков для  индивидуального жилищного строительства на территории Ленинградской области" размер арендной платы определяется по формуле:</w:t>
      </w:r>
    </w:p>
    <w:p>
      <w:pPr>
        <w:pStyle w:val="Normal"/>
        <w:jc w:val="center"/>
        <w:rPr>
          <w:i/>
          <w:i/>
          <w:sz w:val="26"/>
          <w:szCs w:val="26"/>
        </w:rPr>
      </w:pPr>
      <w:r>
        <w:rPr>
          <w:sz w:val="26"/>
          <w:szCs w:val="26"/>
        </w:rPr>
        <w:t xml:space="preserve">А = 0,135626 х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 х Кри х Ку, где: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А – расчетная сумма арендной платы за использование земельного участка, руб. в год;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0,135626 – базовая ставка арендной платы, руб./кв. м;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 – площадь земельного участка, кв. м;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Кри – коэффициент разрешенного использования земельного участка, определяется в соответствии с выпиской из единого государственного реестра недвижимости;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 – коэффициент учета водоохранной зоны и прибрежной защитной полосы, определяемый в соответствии с таблицей  3  к настоящему Порядку. Применяется только для площадей обременений в виде водоохранной зоны и (или) прибрежной защитной полосы (по данным выписки из единого государственного реестра недвижимости).</w:t>
      </w:r>
    </w:p>
    <w:p>
      <w:pPr>
        <w:pStyle w:val="13"/>
        <w:tabs>
          <w:tab w:val="left" w:pos="1418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Размер арендной платы определяется в размере земельного налога в случае заключения договора аренды земельного участка с лицами, указанными в пункте 5 статьи 39.7 Земельного кодекса Российской Федерации.</w:t>
      </w:r>
    </w:p>
    <w:p>
      <w:pPr>
        <w:pStyle w:val="13"/>
        <w:tabs>
          <w:tab w:val="left" w:pos="1418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Расчетная ставка арендной платы  (Б)                            </w:t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Таблица 1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001" w:type="dxa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20"/>
        <w:gridCol w:w="1980"/>
      </w:tblGrid>
      <w:tr>
        <w:trPr>
          <w:trHeight w:val="180" w:hRule="atLeas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 арендной платы, руб. за кв.м в год</w:t>
            </w:r>
          </w:p>
        </w:tc>
      </w:tr>
      <w:tr>
        <w:trPr>
          <w:trHeight w:val="180" w:hRule="atLeas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1.Земли населенных пунктов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80" w:hRule="atLeas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1.1. Земельные участки из категории земель населенных пунктов, предоставляемые для иных целей </w:t>
            </w:r>
          </w:p>
          <w:p>
            <w:pPr>
              <w:pStyle w:val="Normal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--в городских населенных пунктах с численностью от 20 до 50 тыс. чел.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17,803676</w:t>
            </w:r>
          </w:p>
        </w:tc>
      </w:tr>
      <w:tr>
        <w:trPr>
          <w:trHeight w:val="180" w:hRule="atLeas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323" w:hRule="atLeas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2.1. Предоставляемые для иных целей, за исключением участков для проведения инженерных изысканий, под строительство или реконструкцию объектов капитального строительства (кроме указанных в пункте 3.1)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5,6511</w:t>
            </w:r>
          </w:p>
        </w:tc>
      </w:tr>
      <w:tr>
        <w:trPr>
          <w:trHeight w:val="180" w:hRule="atLeas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Земельные участки, предоставляемые для организации пляжей и благоустройства, в границах водоохранных зон, без права возведения объектов капитального строительства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80" w:hRule="atLeas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3.1. Земельные участки из категории земель населенных пунктов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2,52039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Коэффициент разрешенного использования земельного участка (Кри)</w:t>
      </w:r>
    </w:p>
    <w:p>
      <w:pPr>
        <w:pStyle w:val="Normal"/>
        <w:widowControl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2</w:t>
      </w:r>
    </w:p>
    <w:p>
      <w:pPr>
        <w:pStyle w:val="Normal"/>
        <w:widowControl w:val="false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9243" w:type="dxa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02"/>
        <w:gridCol w:w="6156"/>
        <w:gridCol w:w="1085"/>
      </w:tblGrid>
      <w:tr>
        <w:trPr>
          <w:trHeight w:val="307" w:hRule="atLeast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вида разрешенного использования земельного участка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Кри</w:t>
            </w:r>
          </w:p>
        </w:tc>
      </w:tr>
      <w:tr>
        <w:trPr>
          <w:trHeight w:val="307" w:hRule="atLeast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78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1.Производственная деятельность</w:t>
            </w:r>
          </w:p>
        </w:tc>
      </w:tr>
      <w:tr>
        <w:trPr>
          <w:trHeight w:val="307" w:hRule="atLeast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78" w:leader="none"/>
              </w:tabs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1.1.Электроэнергетика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Производство, передача и распределение электроэнергии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307" w:hRule="atLeast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78" w:leader="none"/>
              </w:tabs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1.1.1.Размещение электросетей напряжением до 10 кВ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78" w:leader="none"/>
              </w:tabs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1.2.Производство и распределение газа и тепловой энергии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и распределение газообразного топлива. Производство, передача и распределение пара и горячей воды (тепловой энергии)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0,6</w:t>
            </w:r>
          </w:p>
        </w:tc>
      </w:tr>
      <w:tr>
        <w:trPr>
          <w:trHeight w:val="307" w:hRule="atLeast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78" w:leader="none"/>
              </w:tabs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1.3. Связь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 объектов  связи,  радиовещания,  телевидения,  включая 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307" w:hRule="atLeast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78" w:leader="none"/>
              </w:tabs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1.3.1. Размещение сооружений связи и линейно-кабельных сооружений связи, антенно-мачтовых сооружений связи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</w:p>
        </w:tc>
      </w:tr>
      <w:tr>
        <w:trPr>
          <w:trHeight w:val="307" w:hRule="atLeast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78" w:leader="none"/>
              </w:tabs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1.4.Прочая производственная</w:t>
            </w:r>
          </w:p>
          <w:p>
            <w:pPr>
              <w:pStyle w:val="Normal"/>
              <w:widowControl w:val="false"/>
              <w:tabs>
                <w:tab w:val="left" w:pos="978" w:leader="none"/>
              </w:tabs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деятельность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производственной и складской деятельности, не включенных в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группировки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78" w:leader="none"/>
              </w:tabs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Непроизводственная деятельность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>
          <w:trHeight w:val="307" w:hRule="atLeast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78" w:leader="none"/>
              </w:tabs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2.1.Прочая непроизводственная</w:t>
            </w:r>
          </w:p>
          <w:p>
            <w:pPr>
              <w:pStyle w:val="Normal"/>
              <w:widowControl w:val="false"/>
              <w:tabs>
                <w:tab w:val="left" w:pos="978" w:leader="none"/>
              </w:tabs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деятельность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2.1.использование  земельных  участков  для  осуществления  непроизводственной деятельности, не учтенной в п.п.2.2.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>
        <w:trPr>
          <w:trHeight w:val="1547" w:hRule="atLeast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78" w:leader="none"/>
              </w:tabs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использование земельных участков для </w:t>
            </w:r>
            <w:r>
              <w:rPr>
                <w:bCs/>
                <w:sz w:val="26"/>
                <w:szCs w:val="26"/>
              </w:rPr>
              <w:t>муниципальных предприятий, которые полностью или частично финансируются из бюджета муниципального образования, при распоряжении земельными участками без права передачи их в аренду третьим лицам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0,01</w:t>
            </w:r>
          </w:p>
        </w:tc>
      </w:tr>
    </w:tbl>
    <w:p>
      <w:pPr>
        <w:pStyle w:val="Normal"/>
        <w:widowControl w:val="false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widowControl w:val="false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/>
          <w:sz w:val="26"/>
          <w:szCs w:val="26"/>
        </w:rPr>
        <w:t>Коэффициент учета водоохранной зоны и прибрежной защитной полосы (К</w:t>
      </w:r>
      <w:r>
        <w:rPr>
          <w:b/>
          <w:sz w:val="26"/>
          <w:szCs w:val="26"/>
          <w:vertAlign w:val="subscript"/>
        </w:rPr>
        <w:t>у</w:t>
      </w:r>
      <w:r>
        <w:rPr>
          <w:b/>
          <w:sz w:val="26"/>
          <w:szCs w:val="26"/>
        </w:rPr>
        <w:t>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192" w:firstLine="485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3</w:t>
      </w:r>
    </w:p>
    <w:p>
      <w:pPr>
        <w:pStyle w:val="Normal"/>
        <w:ind w:right="192" w:firstLine="485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959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25"/>
        <w:gridCol w:w="8070"/>
        <w:gridCol w:w="1095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Обременения земельного участка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Водоохранная зона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Прибрежная защитная полоса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Водоохранная зона и прибрежная защитная полоса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>
      <w:pPr>
        <w:pStyle w:val="Style16"/>
        <w:ind w:firstLine="7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hanging="0"/>
        <w:jc w:val="righ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b51c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qFormat/>
    <w:rsid w:val="003b51cc"/>
    <w:pPr>
      <w:keepNext w:val="true"/>
      <w:tabs>
        <w:tab w:val="left" w:pos="0" w:leader="none"/>
      </w:tabs>
      <w:ind w:left="432" w:hanging="432"/>
      <w:jc w:val="center"/>
      <w:outlineLvl w:val="0"/>
    </w:pPr>
    <w:rPr>
      <w:b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b51cc"/>
    <w:rPr/>
  </w:style>
  <w:style w:type="character" w:styleId="WW8Num1z1" w:customStyle="1">
    <w:name w:val="WW8Num1z1"/>
    <w:qFormat/>
    <w:rsid w:val="003b51cc"/>
    <w:rPr/>
  </w:style>
  <w:style w:type="character" w:styleId="WW8Num1z2" w:customStyle="1">
    <w:name w:val="WW8Num1z2"/>
    <w:qFormat/>
    <w:rsid w:val="003b51cc"/>
    <w:rPr/>
  </w:style>
  <w:style w:type="character" w:styleId="WW8Num1z3" w:customStyle="1">
    <w:name w:val="WW8Num1z3"/>
    <w:qFormat/>
    <w:rsid w:val="003b51cc"/>
    <w:rPr/>
  </w:style>
  <w:style w:type="character" w:styleId="WW8Num1z4" w:customStyle="1">
    <w:name w:val="WW8Num1z4"/>
    <w:qFormat/>
    <w:rsid w:val="003b51cc"/>
    <w:rPr/>
  </w:style>
  <w:style w:type="character" w:styleId="WW8Num1z5" w:customStyle="1">
    <w:name w:val="WW8Num1z5"/>
    <w:qFormat/>
    <w:rsid w:val="003b51cc"/>
    <w:rPr/>
  </w:style>
  <w:style w:type="character" w:styleId="WW8Num1z6" w:customStyle="1">
    <w:name w:val="WW8Num1z6"/>
    <w:qFormat/>
    <w:rsid w:val="003b51cc"/>
    <w:rPr/>
  </w:style>
  <w:style w:type="character" w:styleId="WW8Num1z7" w:customStyle="1">
    <w:name w:val="WW8Num1z7"/>
    <w:qFormat/>
    <w:rsid w:val="003b51cc"/>
    <w:rPr/>
  </w:style>
  <w:style w:type="character" w:styleId="WW8Num1z8" w:customStyle="1">
    <w:name w:val="WW8Num1z8"/>
    <w:qFormat/>
    <w:rsid w:val="003b51cc"/>
    <w:rPr/>
  </w:style>
  <w:style w:type="character" w:styleId="11" w:customStyle="1">
    <w:name w:val="Основной шрифт абзаца1"/>
    <w:qFormat/>
    <w:rsid w:val="003b51cc"/>
    <w:rPr/>
  </w:style>
  <w:style w:type="character" w:styleId="Pagenumber">
    <w:name w:val="page number"/>
    <w:basedOn w:val="11"/>
    <w:qFormat/>
    <w:rsid w:val="003b51cc"/>
    <w:rPr/>
  </w:style>
  <w:style w:type="character" w:styleId="Style13">
    <w:name w:val="Интернет-ссылка"/>
    <w:rsid w:val="003b51cc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e"/>
    <w:qFormat/>
    <w:rsid w:val="009b0abe"/>
    <w:rPr>
      <w:rFonts w:ascii="Tahoma" w:hAnsi="Tahoma" w:cs="Tahoma"/>
      <w:sz w:val="16"/>
      <w:szCs w:val="16"/>
      <w:lang w:eastAsia="zh-CN"/>
    </w:rPr>
  </w:style>
  <w:style w:type="paragraph" w:styleId="Style15" w:customStyle="1">
    <w:name w:val="Заголовок"/>
    <w:basedOn w:val="Normal"/>
    <w:next w:val="Style16"/>
    <w:qFormat/>
    <w:rsid w:val="003b51cc"/>
    <w:pPr>
      <w:jc w:val="center"/>
    </w:pPr>
    <w:rPr>
      <w:b/>
      <w:szCs w:val="20"/>
    </w:rPr>
  </w:style>
  <w:style w:type="paragraph" w:styleId="Style16">
    <w:name w:val="Body Text"/>
    <w:basedOn w:val="Normal"/>
    <w:rsid w:val="003b51cc"/>
    <w:pPr>
      <w:jc w:val="both"/>
    </w:pPr>
    <w:rPr>
      <w:sz w:val="22"/>
      <w:szCs w:val="20"/>
    </w:rPr>
  </w:style>
  <w:style w:type="paragraph" w:styleId="Style17">
    <w:name w:val="List"/>
    <w:basedOn w:val="Style16"/>
    <w:rsid w:val="003b51cc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b51cc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3b51cc"/>
    <w:pPr>
      <w:suppressLineNumbers/>
    </w:pPr>
    <w:rPr>
      <w:rFonts w:cs="Mangal"/>
    </w:rPr>
  </w:style>
  <w:style w:type="paragraph" w:styleId="ConsPlusTitle" w:customStyle="1">
    <w:name w:val="ConsPlusTitle"/>
    <w:qFormat/>
    <w:rsid w:val="003b51cc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eastAsia="zh-CN" w:val="ru-RU" w:bidi="ar-SA"/>
    </w:rPr>
  </w:style>
  <w:style w:type="paragraph" w:styleId="ConsPlusNormal" w:customStyle="1">
    <w:name w:val="ConsPlusNormal"/>
    <w:qFormat/>
    <w:rsid w:val="003b51cc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zh-CN" w:val="ru-RU" w:bidi="ar-SA"/>
    </w:rPr>
  </w:style>
  <w:style w:type="paragraph" w:styleId="ConsPlusNonformat" w:customStyle="1">
    <w:name w:val="ConsPlusNonformat"/>
    <w:qFormat/>
    <w:rsid w:val="003b51cc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zh-CN" w:val="ru-RU" w:bidi="ar-SA"/>
    </w:rPr>
  </w:style>
  <w:style w:type="paragraph" w:styleId="Style20">
    <w:name w:val="Body Text Indent"/>
    <w:basedOn w:val="Normal"/>
    <w:rsid w:val="003b51cc"/>
    <w:pPr>
      <w:spacing w:before="0" w:after="120"/>
      <w:ind w:left="283" w:hanging="0"/>
    </w:pPr>
    <w:rPr>
      <w:sz w:val="20"/>
      <w:szCs w:val="20"/>
    </w:rPr>
  </w:style>
  <w:style w:type="paragraph" w:styleId="Style21">
    <w:name w:val="Header"/>
    <w:basedOn w:val="Normal"/>
    <w:rsid w:val="003b51cc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rsid w:val="003b51cc"/>
    <w:pPr>
      <w:tabs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3b51cc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3b51cc"/>
    <w:pPr>
      <w:jc w:val="center"/>
    </w:pPr>
    <w:rPr>
      <w:b/>
      <w:bCs/>
    </w:rPr>
  </w:style>
  <w:style w:type="paragraph" w:styleId="13" w:customStyle="1">
    <w:name w:val="Абзац списка1"/>
    <w:basedOn w:val="Normal"/>
    <w:qFormat/>
    <w:rsid w:val="00ca0e72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f"/>
    <w:qFormat/>
    <w:rsid w:val="009b0abe"/>
    <w:pPr/>
    <w:rPr>
      <w:rFonts w:ascii="Tahoma" w:hAnsi="Tahoma" w:cs="Tahoma"/>
      <w:sz w:val="16"/>
      <w:szCs w:val="16"/>
    </w:rPr>
  </w:style>
  <w:style w:type="paragraph" w:styleId="14" w:customStyle="1">
    <w:name w:val="Обычный (веб)1"/>
    <w:basedOn w:val="Normal"/>
    <w:qFormat/>
    <w:rsid w:val="005f2212"/>
    <w:pPr>
      <w:spacing w:before="280" w:after="280"/>
    </w:pPr>
    <w:rPr>
      <w:rFonts w:eastAsia="Calibri"/>
    </w:rPr>
  </w:style>
  <w:style w:type="paragraph" w:styleId="2" w:customStyle="1">
    <w:name w:val="Абзац списка2"/>
    <w:basedOn w:val="Normal"/>
    <w:qFormat/>
    <w:rsid w:val="00eb53a5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LibreOffice/6.0.5.2$Windows_x86 LibreOffice_project/54c8cbb85f300ac59db32fe8a675ff7683cd5a16</Application>
  <Pages>6</Pages>
  <Words>1130</Words>
  <Characters>8030</Characters>
  <CharactersWithSpaces>9455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2017-10-26T10:07:00Z</dcterms:created>
  <dc:creator>Сивякова</dc:creator>
  <dc:description/>
  <dc:language>ru-RU</dc:language>
  <cp:lastModifiedBy/>
  <cp:lastPrinted>2020-11-25T06:33:00Z</cp:lastPrinted>
  <dcterms:modified xsi:type="dcterms:W3CDTF">2020-12-01T11:54:42Z</dcterms:modified>
  <cp:revision>24</cp:revision>
  <dc:subject/>
  <dc:title>МУНИЦИПАЛЬНОЕ ОБРАЗОВАНИЕ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