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A3" w:rsidRDefault="006345B2" w:rsidP="00835559">
      <w:pPr>
        <w:spacing w:after="0" w:line="240" w:lineRule="auto"/>
        <w:jc w:val="right"/>
      </w:pPr>
      <w:r>
        <w:rPr>
          <w:rFonts w:ascii="Times New Roman" w:eastAsia="Times New Roman" w:hAnsi="Times New Roman" w:cs="Times New Roman"/>
          <w:sz w:val="28"/>
          <w:szCs w:val="28"/>
        </w:rPr>
        <w:t xml:space="preserve">               </w:t>
      </w:r>
      <w:r>
        <w:t>Утверждено</w:t>
      </w:r>
    </w:p>
    <w:p w:rsidR="008F78A3" w:rsidRDefault="006345B2">
      <w:pPr>
        <w:pStyle w:val="Pro-Gramma0"/>
        <w:ind w:left="6237" w:firstLine="0"/>
      </w:pPr>
      <w:r>
        <w:t xml:space="preserve">постановлением администрации Сланцевского муниципального района </w:t>
      </w:r>
    </w:p>
    <w:p w:rsidR="008F78A3" w:rsidRDefault="006345B2">
      <w:pPr>
        <w:pStyle w:val="Pro-Gramma0"/>
        <w:ind w:left="6237" w:firstLine="0"/>
      </w:pPr>
      <w:r>
        <w:t>от «__»____________ № _____-п</w:t>
      </w:r>
    </w:p>
    <w:p w:rsidR="008F78A3" w:rsidRDefault="006345B2">
      <w:pPr>
        <w:pStyle w:val="Pro-Gramma0"/>
        <w:jc w:val="right"/>
      </w:pPr>
      <w:r>
        <w:t>(приложение 1)</w:t>
      </w:r>
    </w:p>
    <w:p w:rsidR="008F78A3" w:rsidRDefault="006345B2">
      <w:pPr>
        <w:pStyle w:val="Pro-Gramma0"/>
        <w:ind w:firstLine="0"/>
        <w:jc w:val="center"/>
        <w:rPr>
          <w:b/>
        </w:rPr>
      </w:pPr>
      <w:r>
        <w:rPr>
          <w:b/>
        </w:rPr>
        <w:t>ПОЛОЖЕНИЕ</w:t>
      </w:r>
    </w:p>
    <w:p w:rsidR="008F78A3" w:rsidRDefault="006345B2">
      <w:pPr>
        <w:pStyle w:val="Pro-Gramma0"/>
        <w:ind w:firstLine="0"/>
        <w:jc w:val="center"/>
        <w:rPr>
          <w:b/>
        </w:rPr>
      </w:pPr>
      <w:r>
        <w:rPr>
          <w:b/>
        </w:rPr>
        <w:t xml:space="preserve">О СИСТЕМЕ ОПЛАТЫ ТРУДА </w:t>
      </w:r>
      <w:r>
        <w:rPr>
          <w:b/>
        </w:rPr>
        <w:br/>
        <w:t>В МУНИЦИПАЛЬНОМ КАЗЕННОМ УЧРЕЖДЕНИИ «РАЙОННЫЕ ВСПОМОГАТЕЛЬНЫЕ СЛУЖБЫ»</w:t>
      </w:r>
    </w:p>
    <w:p w:rsidR="008F78A3" w:rsidRDefault="008F78A3">
      <w:pPr>
        <w:pStyle w:val="Pro-Gramma0"/>
        <w:ind w:firstLine="0"/>
        <w:jc w:val="center"/>
        <w:rPr>
          <w:b/>
        </w:rPr>
      </w:pPr>
    </w:p>
    <w:p w:rsidR="008F78A3" w:rsidRDefault="006345B2">
      <w:pPr>
        <w:pStyle w:val="3"/>
        <w:numPr>
          <w:ilvl w:val="0"/>
          <w:numId w:val="1"/>
        </w:numPr>
        <w:jc w:val="center"/>
      </w:pPr>
      <w:r>
        <w:t>Общие положения</w:t>
      </w:r>
    </w:p>
    <w:p w:rsidR="008F78A3" w:rsidRDefault="008F78A3">
      <w:pPr>
        <w:pStyle w:val="Pro-Gramma0"/>
        <w:jc w:val="center"/>
        <w:rPr>
          <w:b/>
        </w:rPr>
      </w:pPr>
    </w:p>
    <w:p w:rsidR="008F78A3" w:rsidRDefault="006345B2">
      <w:pPr>
        <w:pStyle w:val="Pro-Gramma0"/>
      </w:pPr>
      <w:r>
        <w:t>1.1. Настоящее Положение регулирует отношения в области оплаты труда между работодателем и работниками муниципального казенного учреждения «Районные вспомогательные службы» (далее – учреждение), вне зависимости от источников финансирования оплаты труда работников учреждения.</w:t>
      </w:r>
    </w:p>
    <w:p w:rsidR="008F78A3" w:rsidRDefault="006345B2">
      <w:pPr>
        <w:pStyle w:val="Pro-Gramma0"/>
      </w:pPr>
      <w:r>
        <w:t>Понятия и термины, применяемые в настоящем Положении, используются в значениях, определенных в трудовом законодательстве и иных нормативных актах Российской Федерации, содержащих нормы трудового права, а также  в постановлении администрации Сланцевского муниципального района от 06 апреля 2020 года № 451-п «Об оплате труда работников муниципальных бюджетных учреждений и муниципальных казенных учреждений муниципального образования Сланцевский муниципальный район Ленинградской области».</w:t>
      </w:r>
    </w:p>
    <w:p w:rsidR="008F78A3" w:rsidRDefault="006345B2">
      <w:pPr>
        <w:pStyle w:val="Pro-Gramma0"/>
      </w:pPr>
      <w:r>
        <w:t>1.2. Предельный уровень соотношения среднемесячной заработной платы руководителя, его заместителей, главного бухгалтера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учреждения установить в кратности от 1-5.</w:t>
      </w:r>
    </w:p>
    <w:p w:rsidR="008F78A3" w:rsidRDefault="008F78A3">
      <w:pPr>
        <w:pStyle w:val="3"/>
        <w:jc w:val="center"/>
        <w:rPr>
          <w:b/>
        </w:rPr>
      </w:pPr>
    </w:p>
    <w:p w:rsidR="008F78A3" w:rsidRDefault="006345B2">
      <w:pPr>
        <w:pStyle w:val="3"/>
        <w:jc w:val="center"/>
      </w:pPr>
      <w:r>
        <w:t>2. Порядок определения должностных окладов (окладов) работников и повышающих коэффициентов к  ним</w:t>
      </w:r>
    </w:p>
    <w:p w:rsidR="008F78A3" w:rsidRDefault="008F78A3">
      <w:pPr>
        <w:pStyle w:val="Pro-Gramma0"/>
      </w:pPr>
    </w:p>
    <w:p w:rsidR="008F78A3" w:rsidRDefault="006345B2">
      <w:pPr>
        <w:pStyle w:val="Pro-Gramma0"/>
      </w:pPr>
      <w:r>
        <w:t xml:space="preserve">2.1. Должностные оклады (оклады)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с учетом требований и особенностей, установленных настоящим Положением. </w:t>
      </w:r>
    </w:p>
    <w:p w:rsidR="008F78A3" w:rsidRDefault="006345B2">
      <w:pPr>
        <w:pStyle w:val="Pro-Gramma0"/>
      </w:pPr>
      <w:r>
        <w:t>2.2. Должностные оклады (оклады)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8F78A3" w:rsidRDefault="006345B2">
      <w:pPr>
        <w:pStyle w:val="Pro-Gramma0"/>
      </w:pPr>
      <w:r>
        <w:lastRenderedPageBreak/>
        <w:t>Установление различных должностных окладов (окладов) по различным должностям (профессиям) внутри одной ПКГ, одного КУ не допускается.</w:t>
      </w:r>
    </w:p>
    <w:p w:rsidR="008F78A3" w:rsidRDefault="006345B2">
      <w:pPr>
        <w:pStyle w:val="Pro-Gramma0"/>
      </w:pPr>
      <w:r>
        <w:t>Установление по отдельной ПКГ, отдельному КУ должностных окладов (окладов) более высоких, чем по ПКГ, КУ соответствующей категории работников более высокого уровня, не допускается.</w:t>
      </w:r>
    </w:p>
    <w:p w:rsidR="008F78A3" w:rsidRDefault="006345B2">
      <w:pPr>
        <w:pStyle w:val="Pro-Gramma0"/>
      </w:pPr>
      <w:r>
        <w:t>2.3. По должностям работников, не включенным в ПКГ, должностные оклады (оклады) устанавливаются в зависимости от сложности труда с учетом требований, установленных настоящим Положением.</w:t>
      </w:r>
    </w:p>
    <w:p w:rsidR="008F78A3" w:rsidRDefault="006345B2">
      <w:pPr>
        <w:pStyle w:val="Pro-Gramma0"/>
      </w:pPr>
      <w:r>
        <w:t>2.4. Определение должностных окладов (окладов) по основной должности, а также по должности, занимаемой в порядке совместительства, производится раздельно по каждой должности.</w:t>
      </w:r>
    </w:p>
    <w:p w:rsidR="008F78A3" w:rsidRDefault="006345B2">
      <w:pPr>
        <w:pStyle w:val="Pro-Gramma0"/>
      </w:pPr>
      <w:r>
        <w:t>2.5. Должностной оклад (оклад)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w:t>
      </w:r>
      <w:r>
        <w:rPr>
          <w:bCs/>
        </w:rPr>
        <w:t xml:space="preserve">, </w:t>
      </w:r>
      <w:r>
        <w:t>определяемого как произведение расчетной величины, устанавливаемой решением совета депутатов муниципального образования Сланцевский муниципальный район Ленинградской области о бюджете муниципального образования на очередной финансовый год и на плановый период,  и межуровневого коэффициента по соответствующей должности (далее – минимальный уровень должностного оклада (оклада)).</w:t>
      </w:r>
    </w:p>
    <w:p w:rsidR="008F78A3" w:rsidRDefault="006345B2">
      <w:pPr>
        <w:pStyle w:val="Pro-Gramma0"/>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по должностям, для которых не установлены межуровневые коэффициенты, не допускается.</w:t>
      </w:r>
    </w:p>
    <w:p w:rsidR="008F78A3" w:rsidRDefault="006345B2">
      <w:pPr>
        <w:pStyle w:val="Pro-Gramma0"/>
      </w:pPr>
      <w:r>
        <w:t>2.6. Межуровневые коэффициенты устанавливаются:</w:t>
      </w:r>
    </w:p>
    <w:p w:rsidR="008F78A3" w:rsidRDefault="006345B2">
      <w:pPr>
        <w:pStyle w:val="Pro-Gramma0"/>
      </w:pPr>
      <w:r>
        <w:t>по общеотраслевым профессиям рабочих - согласно приложению 1 к настоящему Положению;</w:t>
      </w:r>
    </w:p>
    <w:p w:rsidR="008F78A3" w:rsidRDefault="006345B2">
      <w:pPr>
        <w:pStyle w:val="Pro-Gramma0"/>
      </w:pPr>
      <w:r>
        <w:t>по общеотраслевым должностям руководителей, специалистов и служащих - согласно приложению 2 к настоящему Положению;</w:t>
      </w:r>
    </w:p>
    <w:p w:rsidR="008F78A3" w:rsidRDefault="006345B2">
      <w:pPr>
        <w:pStyle w:val="Pro-Gramma0"/>
      </w:pPr>
      <w:r>
        <w:t>2.7. Штатное расписание учреждения утверждается руководителем учреждения и  включает в себя все должности рабочих, руководителей, специалистов и служащих учреждения.</w:t>
      </w:r>
    </w:p>
    <w:p w:rsidR="008F78A3" w:rsidRDefault="006345B2">
      <w:pPr>
        <w:pStyle w:val="Pro-Gramma0"/>
      </w:pPr>
      <w:r>
        <w:t xml:space="preserve"> Перед утверждением штатное расписание  проверяется специалистом комитета финансов администрации Сланцевского муниципального района  на  соответствие требованиям настоящего Положения и иных нормативных  актов, утверждаемых в соответствии с настоящим Положением. </w:t>
      </w:r>
    </w:p>
    <w:p w:rsidR="008F78A3" w:rsidRDefault="006345B2">
      <w:pPr>
        <w:pStyle w:val="Pro-Gramma0"/>
      </w:pPr>
      <w:r>
        <w:t>2.8.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работников, относимых к основному персоналу соответствующего учреждения (далее – СДО), на коэффициент масштаба управления учреждением.</w:t>
      </w:r>
    </w:p>
    <w:p w:rsidR="008F78A3" w:rsidRDefault="006345B2">
      <w:pPr>
        <w:pStyle w:val="Pro-Gramma0"/>
      </w:pPr>
      <w:r>
        <w:t>Установление должностных окладов руководителей учреждения сверх минимальных уровней должностных окладов руководителей, осуществляется в порядке, установленном уполномоченным органом.</w:t>
      </w:r>
    </w:p>
    <w:p w:rsidR="008F78A3" w:rsidRDefault="006345B2">
      <w:pPr>
        <w:pStyle w:val="Pro-Gramma0"/>
      </w:pPr>
      <w:r>
        <w:t xml:space="preserve">2.9. Должностные оклады по должностям заместителей руководителя учреждения, главного бухгалтера учреждения устанавливаются учреждением в </w:t>
      </w:r>
      <w:r>
        <w:lastRenderedPageBreak/>
        <w:t>размере не ниже минимального уровня должностного оклада заместителя руководителя, главного бухгалтера учреждения, равного:</w:t>
      </w:r>
    </w:p>
    <w:p w:rsidR="008F78A3" w:rsidRDefault="006345B2">
      <w:pPr>
        <w:pStyle w:val="Pro-Gramma0"/>
      </w:pPr>
      <w:r>
        <w:t>- 90% минимального уровня должностного оклада руководителя учреждения – для прочих заместителей руководителя учреждения;</w:t>
      </w:r>
    </w:p>
    <w:p w:rsidR="008F78A3" w:rsidRDefault="006345B2">
      <w:pPr>
        <w:pStyle w:val="Pro-Gramma0"/>
      </w:pPr>
      <w:r>
        <w:t>-80% минимального уровня должностного оклада руководителя учреждения –для главного бухгалтера учреждения;</w:t>
      </w:r>
    </w:p>
    <w:p w:rsidR="008F78A3" w:rsidRDefault="006345B2">
      <w:pPr>
        <w:pStyle w:val="Pro-Gramma0"/>
      </w:pPr>
      <w:r>
        <w:t xml:space="preserve">2.10. Величина </w:t>
      </w:r>
      <w:bookmarkStart w:id="0" w:name="_Hlk19892907"/>
      <w:r>
        <w:t>СДО определяется как среднее арифметическое минимальных уровней должностных окладов (окладов) работников</w:t>
      </w:r>
      <w:bookmarkEnd w:id="0"/>
      <w:r>
        <w:t>, относимых к основному персоналу, включенных в штатное расписание, по следующей формуле:</w:t>
      </w:r>
    </w:p>
    <w:p w:rsidR="008F78A3" w:rsidRDefault="00286F5A">
      <w:pPr>
        <w:pStyle w:val="Pro-Gramma0"/>
      </w:pPr>
      <m:oMathPara>
        <m:oMath>
          <m:sSub>
            <m:sSubPr>
              <m:ctrlPr>
                <w:rPr>
                  <w:rFonts w:ascii="Cambria Math" w:hAnsi="Cambria Math"/>
                </w:rPr>
              </m:ctrlPr>
            </m:sSubPr>
            <m:e>
              <m:r>
                <w:rPr>
                  <w:rFonts w:ascii="Cambria Math" w:hAnsi="Cambria Math"/>
                </w:rPr>
                <m:t>СДО</m:t>
              </m:r>
            </m:e>
            <m:sub>
              <m:r>
                <w:rPr>
                  <w:rFonts w:ascii="Cambria Math" w:hAnsi="Cambria Math"/>
                </w:rPr>
                <m:t>j</m:t>
              </m:r>
            </m:sub>
          </m:sSub>
          <m:r>
            <w:rPr>
              <w:rFonts w:ascii="Cambria Math" w:hAnsi="Cambria Math"/>
            </w:rPr>
            <m:t>=</m:t>
          </m:r>
          <m:f>
            <m:fPr>
              <m:type m:val="lin"/>
              <m:ctrlPr>
                <w:rPr>
                  <w:rFonts w:ascii="Cambria Math" w:hAnsi="Cambria Math"/>
                </w:rPr>
              </m:ctrlPr>
            </m:fPr>
            <m:num>
              <m:nary>
                <m:naryPr>
                  <m:chr m:val="∑"/>
                  <m:supHide m:val="on"/>
                  <m:ctrlPr>
                    <w:rPr>
                      <w:rFonts w:ascii="Cambria Math" w:hAnsi="Cambria Math"/>
                    </w:rPr>
                  </m:ctrlPr>
                </m:naryPr>
                <m:sub>
                  <m:r>
                    <w:rPr>
                      <w:rFonts w:ascii="Cambria Math" w:hAnsi="Cambria Math"/>
                    </w:rPr>
                    <m:t>i</m:t>
                  </m:r>
                </m:sub>
                <m:sup/>
                <m:e>
                  <m:d>
                    <m:dPr>
                      <m:ctrlPr>
                        <w:rPr>
                          <w:rFonts w:ascii="Cambria Math" w:hAnsi="Cambria Math"/>
                        </w:rPr>
                      </m:ctrlPr>
                    </m:dPr>
                    <m:e>
                      <m:sSub>
                        <m:sSubPr>
                          <m:ctrlPr>
                            <w:rPr>
                              <w:rFonts w:ascii="Cambria Math" w:hAnsi="Cambria Math"/>
                            </w:rPr>
                          </m:ctrlPr>
                        </m:sSubPr>
                        <m:e>
                          <m:r>
                            <w:rPr>
                              <w:rFonts w:ascii="Cambria Math" w:hAnsi="Cambria Math"/>
                            </w:rPr>
                            <m:t>МДО</m:t>
                          </m:r>
                          <m:d>
                            <m:dPr>
                              <m:ctrlPr>
                                <w:rPr>
                                  <w:rFonts w:ascii="Cambria Math" w:hAnsi="Cambria Math"/>
                                </w:rPr>
                              </m:ctrlPr>
                            </m:dPr>
                            <m:e>
                              <m:r>
                                <w:rPr>
                                  <w:rFonts w:ascii="Cambria Math" w:hAnsi="Cambria Math"/>
                                </w:rPr>
                                <m:t>оп</m:t>
                              </m:r>
                            </m:e>
                          </m:d>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ШЧ</m:t>
                          </m:r>
                          <m:d>
                            <m:dPr>
                              <m:ctrlPr>
                                <w:rPr>
                                  <w:rFonts w:ascii="Cambria Math" w:hAnsi="Cambria Math"/>
                                </w:rPr>
                              </m:ctrlPr>
                            </m:dPr>
                            <m:e>
                              <m:r>
                                <w:rPr>
                                  <w:rFonts w:ascii="Cambria Math" w:hAnsi="Cambria Math"/>
                                </w:rPr>
                                <m:t>оп</m:t>
                              </m:r>
                            </m:e>
                          </m:d>
                        </m:e>
                        <m:sub>
                          <m:r>
                            <w:rPr>
                              <w:rFonts w:ascii="Cambria Math" w:hAnsi="Cambria Math"/>
                            </w:rPr>
                            <m:t>ij</m:t>
                          </m:r>
                        </m:sub>
                      </m:sSub>
                    </m:e>
                  </m:d>
                </m:e>
              </m:nary>
            </m:num>
            <m:den>
              <m:nary>
                <m:naryPr>
                  <m:chr m:val="∑"/>
                  <m:supHide m:val="on"/>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ШЧ</m:t>
                      </m:r>
                      <m:d>
                        <m:dPr>
                          <m:ctrlPr>
                            <w:rPr>
                              <w:rFonts w:ascii="Cambria Math" w:hAnsi="Cambria Math"/>
                            </w:rPr>
                          </m:ctrlPr>
                        </m:dPr>
                        <m:e>
                          <m:r>
                            <w:rPr>
                              <w:rFonts w:ascii="Cambria Math" w:hAnsi="Cambria Math"/>
                            </w:rPr>
                            <m:t>оп</m:t>
                          </m:r>
                        </m:e>
                      </m:d>
                    </m:e>
                    <m:sub>
                      <m:r>
                        <w:rPr>
                          <w:rFonts w:ascii="Cambria Math" w:hAnsi="Cambria Math"/>
                        </w:rPr>
                        <m:t>ij</m:t>
                      </m:r>
                    </m:sub>
                  </m:sSub>
                </m:e>
              </m:nary>
            </m:den>
          </m:f>
          <m:r>
            <w:rPr>
              <w:rFonts w:ascii="Cambria Math" w:hAnsi="Cambria Math"/>
            </w:rPr>
            <m:t>,</m:t>
          </m:r>
        </m:oMath>
      </m:oMathPara>
    </w:p>
    <w:p w:rsidR="008F78A3" w:rsidRDefault="006345B2">
      <w:pPr>
        <w:pStyle w:val="Pro-Gramma0"/>
      </w:pPr>
      <w:r>
        <w:t>где:</w:t>
      </w:r>
    </w:p>
    <w:p w:rsidR="008F78A3" w:rsidRDefault="006345B2">
      <w:pPr>
        <w:pStyle w:val="Pro-Gramma0"/>
      </w:pPr>
      <w:r>
        <w:t>СДО</w:t>
      </w:r>
      <w:r>
        <w:rPr>
          <w:lang w:val="en-US"/>
        </w:rPr>
        <w:t>j</w:t>
      </w:r>
      <w:r>
        <w:t xml:space="preserve"> – СДО в </w:t>
      </w:r>
      <w:r>
        <w:rPr>
          <w:lang w:val="en-US"/>
        </w:rPr>
        <w:t>j</w:t>
      </w:r>
      <w:r>
        <w:t>-м учреждении;</w:t>
      </w:r>
    </w:p>
    <w:p w:rsidR="008F78A3" w:rsidRDefault="006345B2">
      <w:pPr>
        <w:pStyle w:val="Pro-Gramma0"/>
      </w:pPr>
      <w:r>
        <w:t>МДО(оп)</w:t>
      </w:r>
      <w:r>
        <w:rPr>
          <w:lang w:val="en-US"/>
        </w:rPr>
        <w:t>ij</w:t>
      </w:r>
      <w:r>
        <w:t xml:space="preserve"> - минимальный уровень должностного оклада (оклада) по ПКГ, КУ, должности, не включенной в ПКГ, по </w:t>
      </w:r>
      <w:r>
        <w:rPr>
          <w:lang w:val="en-US"/>
        </w:rPr>
        <w:t>i</w:t>
      </w:r>
      <w:r>
        <w:t xml:space="preserve">-й должности работников </w:t>
      </w:r>
      <w:r>
        <w:rPr>
          <w:lang w:val="en-US"/>
        </w:rPr>
        <w:t>j</w:t>
      </w:r>
      <w:r>
        <w:t>-го учреждения, отнесенной к основному персоналу, определяемый в соответствии с пунктом 2.5 настоящего Положения;</w:t>
      </w:r>
    </w:p>
    <w:p w:rsidR="008F78A3" w:rsidRDefault="006345B2">
      <w:pPr>
        <w:pStyle w:val="Pro-Gramma0"/>
      </w:pPr>
      <w:r>
        <w:t>ШЧ(оп)</w:t>
      </w:r>
      <w:r>
        <w:rPr>
          <w:lang w:val="en-US"/>
        </w:rPr>
        <w:t>ij</w:t>
      </w:r>
      <w:r>
        <w:t xml:space="preserve"> – штатная численность работников </w:t>
      </w:r>
      <w:r>
        <w:rPr>
          <w:lang w:val="en-US"/>
        </w:rPr>
        <w:t>j</w:t>
      </w:r>
      <w:r>
        <w:t xml:space="preserve">-го учреждения по </w:t>
      </w:r>
      <w:r>
        <w:rPr>
          <w:lang w:val="en-US"/>
        </w:rPr>
        <w:t>i</w:t>
      </w:r>
      <w:bookmarkStart w:id="1" w:name="_Hlk19893578"/>
      <w:bookmarkEnd w:id="1"/>
      <w:r>
        <w:t>-й должности, отнесенной к основному персоналу.</w:t>
      </w:r>
    </w:p>
    <w:p w:rsidR="008F78A3" w:rsidRDefault="006345B2">
      <w:pPr>
        <w:pStyle w:val="Pro-Gramma0"/>
      </w:pPr>
      <w:r>
        <w:t>Перечни должностей, относимых к основному персоналу, для учреждения, не отнесенных к отдельным видам экономической деятельности, устанавливаются согласно разделу 1 приложения 3 к настоящему Положению.</w:t>
      </w:r>
    </w:p>
    <w:p w:rsidR="008F78A3" w:rsidRDefault="006345B2">
      <w:pPr>
        <w:pStyle w:val="Pro-Gramma0"/>
      </w:pPr>
      <w: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8F78A3" w:rsidRDefault="006345B2">
      <w:pPr>
        <w:pStyle w:val="Pro-Gramma0"/>
      </w:pPr>
      <w:r>
        <w:t>2.11.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8F78A3" w:rsidRDefault="008F78A3">
      <w:pPr>
        <w:pStyle w:val="Pro-Gramma0"/>
      </w:pPr>
    </w:p>
    <w:tbl>
      <w:tblPr>
        <w:tblStyle w:val="Pro-Table"/>
        <w:tblW w:w="10206" w:type="dxa"/>
        <w:tblInd w:w="108" w:type="dxa"/>
        <w:tblLook w:val="0000"/>
      </w:tblPr>
      <w:tblGrid>
        <w:gridCol w:w="5104"/>
        <w:gridCol w:w="5102"/>
      </w:tblGrid>
      <w:tr w:rsidR="008F78A3" w:rsidTr="008F78A3">
        <w:trPr>
          <w:tblHeader/>
        </w:trPr>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Группа по оплате труда руководителей</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Коэффициент масштаба управления</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3,00</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II</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2,75</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III</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2,50</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IV</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2,25</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V</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2,00</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VI</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1,75</w:t>
            </w:r>
          </w:p>
        </w:tc>
      </w:tr>
    </w:tbl>
    <w:p w:rsidR="008F78A3" w:rsidRDefault="008F78A3">
      <w:pPr>
        <w:pStyle w:val="Pro-Gramma0"/>
      </w:pPr>
    </w:p>
    <w:p w:rsidR="008F78A3" w:rsidRDefault="006345B2">
      <w:pPr>
        <w:pStyle w:val="Pro-Gramma0"/>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8F78A3" w:rsidRDefault="006345B2">
      <w:pPr>
        <w:pStyle w:val="Pro-Gramma0"/>
      </w:pPr>
      <w:r>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8F78A3" w:rsidRDefault="006345B2">
      <w:pPr>
        <w:pStyle w:val="Pro-Gramma0"/>
      </w:pPr>
      <w:r>
        <w:lastRenderedPageBreak/>
        <w:t>2.12. Порядок отнесения учреждения к группе по оплате труда руководителя в зависимости от объемных показателей деятельности устанавливается согласно разделу 3 приложения 3  к настоящему Положению.</w:t>
      </w:r>
    </w:p>
    <w:p w:rsidR="008F78A3" w:rsidRDefault="006345B2">
      <w:pPr>
        <w:pStyle w:val="Pro-Gramma0"/>
      </w:pPr>
      <w:r>
        <w:t>2.13. Распределение учреждения по группе по оплате труда руководителя и коэффициенты масштаба управления для учреждения ежегодно утверждаются постановлением главы администрации Сланцевского муниципального района на основе объемных показателей деятельности по состоянию на 1 января текущего года.</w:t>
      </w:r>
    </w:p>
    <w:p w:rsidR="008F78A3" w:rsidRDefault="008F78A3">
      <w:pPr>
        <w:pStyle w:val="Pro-Gramma0"/>
        <w:ind w:firstLine="0"/>
      </w:pPr>
    </w:p>
    <w:p w:rsidR="008F78A3" w:rsidRDefault="006345B2">
      <w:pPr>
        <w:pStyle w:val="3"/>
        <w:keepNext/>
        <w:numPr>
          <w:ilvl w:val="0"/>
          <w:numId w:val="1"/>
        </w:numPr>
        <w:jc w:val="center"/>
      </w:pPr>
      <w:r>
        <w:t>Размеры и порядок установления компенсационных выплат</w:t>
      </w:r>
    </w:p>
    <w:p w:rsidR="008F78A3" w:rsidRDefault="008F78A3">
      <w:pPr>
        <w:pStyle w:val="Pro-Gramma0"/>
        <w:ind w:firstLine="0"/>
      </w:pPr>
    </w:p>
    <w:p w:rsidR="008F78A3" w:rsidRDefault="006345B2">
      <w:pPr>
        <w:pStyle w:val="Pro-Gramma0"/>
      </w:pPr>
      <w:r>
        <w:t>3.1.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8F78A3" w:rsidRDefault="006345B2">
      <w:pPr>
        <w:pStyle w:val="Pro-Gramma0"/>
      </w:pPr>
      <w:r>
        <w:t>Если по итогам специальной оценки условий труда рабочее место признается безопасным, повышение оплаты труда не производится.</w:t>
      </w:r>
    </w:p>
    <w:p w:rsidR="008F78A3" w:rsidRDefault="006345B2">
      <w:pPr>
        <w:pStyle w:val="Pro-Gramma0"/>
      </w:pPr>
      <w:r>
        <w:t xml:space="preserve"> 3.2. Работникам учреждений рекомендуется устанавливать размеры повышений за работу с вредными и (или) опасными условиями труда в следующих размерах:</w:t>
      </w:r>
    </w:p>
    <w:p w:rsidR="008F78A3" w:rsidRDefault="008F78A3">
      <w:pPr>
        <w:pStyle w:val="Pro-Gramma0"/>
      </w:pPr>
    </w:p>
    <w:tbl>
      <w:tblPr>
        <w:tblStyle w:val="Pro-Table"/>
        <w:tblW w:w="10206" w:type="dxa"/>
        <w:tblInd w:w="108" w:type="dxa"/>
        <w:tblLook w:val="0000"/>
      </w:tblPr>
      <w:tblGrid>
        <w:gridCol w:w="5104"/>
        <w:gridCol w:w="5102"/>
      </w:tblGrid>
      <w:tr w:rsidR="008F78A3" w:rsidTr="008F78A3">
        <w:trPr>
          <w:tblHeader/>
        </w:trPr>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Степень вредности условий труда</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Надбавка, % от должностного оклада (оклада, выплат по ставке заработной платы)</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 класс, подкласс 3.1</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4</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 класс, подкласс 3.2</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8</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 класс, подкласс 3.3</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12</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 класс, подкласс 3.4</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16</w:t>
            </w:r>
          </w:p>
        </w:tc>
      </w:tr>
      <w:tr w:rsidR="008F78A3" w:rsidTr="008F78A3">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4 класс</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24</w:t>
            </w:r>
          </w:p>
        </w:tc>
      </w:tr>
    </w:tbl>
    <w:p w:rsidR="008F78A3" w:rsidRDefault="008F78A3">
      <w:pPr>
        <w:pStyle w:val="Pro-Gramma0"/>
      </w:pPr>
    </w:p>
    <w:p w:rsidR="008F78A3" w:rsidRDefault="006345B2">
      <w:pPr>
        <w:pStyle w:val="Pro-Gramma0"/>
      </w:pPr>
      <w:r>
        <w:t>3.4. Конкретные размеры повышения оплаты труда работникам, занятым на работах с вредными и (или) опасными условиями труда, устанавливаются приказом учреждения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8F78A3" w:rsidRDefault="006345B2">
      <w:pPr>
        <w:pStyle w:val="Pro-Gramma0"/>
      </w:pPr>
      <w:r>
        <w:t>3.5.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8F78A3" w:rsidRDefault="006345B2">
      <w:pPr>
        <w:pStyle w:val="Pro-Gramma0"/>
      </w:pPr>
      <w:r>
        <w:t>При осуществлении компенсационных выплат за работу в выходные и нерабочие праздничные дни учитываются должностные оклады (оклады), иные компенсационные и стимулирующие выплаты.</w:t>
      </w:r>
    </w:p>
    <w:p w:rsidR="008F78A3" w:rsidRDefault="006345B2">
      <w:pPr>
        <w:pStyle w:val="Pro-Gramma0"/>
      </w:pPr>
      <w:r>
        <w:t>3.6. Работа в ночное время оплачивается в повышенном размере:</w:t>
      </w:r>
    </w:p>
    <w:p w:rsidR="008F78A3" w:rsidRDefault="006345B2">
      <w:pPr>
        <w:pStyle w:val="Pro-Gramma0"/>
      </w:pPr>
      <w:r>
        <w:t>- 20 процентов должностного оклада (оклада), рассчитанного за час работы.</w:t>
      </w:r>
    </w:p>
    <w:p w:rsidR="008F78A3" w:rsidRDefault="008F78A3">
      <w:pPr>
        <w:pStyle w:val="Pro-Gramma0"/>
        <w:spacing w:before="60"/>
        <w:ind w:firstLine="0"/>
      </w:pPr>
    </w:p>
    <w:p w:rsidR="008F78A3" w:rsidRDefault="006345B2">
      <w:pPr>
        <w:pStyle w:val="3"/>
        <w:jc w:val="center"/>
      </w:pPr>
      <w:r>
        <w:t>4. Виды и порядок установления стимулирующих выплат</w:t>
      </w:r>
    </w:p>
    <w:p w:rsidR="008F78A3" w:rsidRDefault="006345B2">
      <w:pPr>
        <w:pStyle w:val="Pro-Gramma0"/>
        <w:spacing w:before="60"/>
      </w:pPr>
      <w:r>
        <w:lastRenderedPageBreak/>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8F78A3" w:rsidRDefault="006345B2">
      <w:pPr>
        <w:pStyle w:val="Pro-Gramma0"/>
        <w:spacing w:before="60"/>
      </w:pPr>
      <w:r>
        <w:t>4.2. Стимулирующие выплаты работникам учреждения устанавливаются  из следующего перечня выплат:</w:t>
      </w:r>
    </w:p>
    <w:p w:rsidR="008F78A3" w:rsidRDefault="006345B2">
      <w:pPr>
        <w:pStyle w:val="Pro-Gramma0"/>
        <w:spacing w:before="60"/>
      </w:pPr>
      <w:r>
        <w:t>а) премиальные выплаты по итогам работы;</w:t>
      </w:r>
    </w:p>
    <w:p w:rsidR="008F78A3" w:rsidRDefault="006345B2">
      <w:pPr>
        <w:pStyle w:val="Pro-Gramma0"/>
        <w:spacing w:before="60"/>
      </w:pPr>
      <w:r>
        <w:t>б) стимулирующая надбавка по итогам работы;</w:t>
      </w:r>
    </w:p>
    <w:p w:rsidR="008F78A3" w:rsidRDefault="006345B2">
      <w:pPr>
        <w:pStyle w:val="Pro-Gramma0"/>
        <w:spacing w:before="60"/>
      </w:pPr>
      <w:r>
        <w:t>в) премиальные выплаты за выполнение особо важных (срочных) работ;</w:t>
      </w:r>
    </w:p>
    <w:p w:rsidR="008F78A3" w:rsidRDefault="006345B2">
      <w:pPr>
        <w:pStyle w:val="Pro-Gramma0"/>
        <w:spacing w:before="60"/>
      </w:pPr>
      <w:r>
        <w:t>г) профессиональная стимулирующая надбавка;</w:t>
      </w:r>
    </w:p>
    <w:p w:rsidR="008F78A3" w:rsidRDefault="006345B2">
      <w:pPr>
        <w:pStyle w:val="Pro-Gramma0"/>
        <w:spacing w:before="60"/>
      </w:pPr>
      <w:r>
        <w:t>д) премиальные выплаты к значимым датам (событиям).</w:t>
      </w:r>
    </w:p>
    <w:p w:rsidR="008F78A3" w:rsidRDefault="006345B2">
      <w:pPr>
        <w:pStyle w:val="Pro-Gramma0"/>
        <w:spacing w:before="60"/>
      </w:pPr>
      <w:r>
        <w:t>4.3. Стимулирующие выплаты руководителю, устанавливаются из следующего перечня:</w:t>
      </w:r>
    </w:p>
    <w:p w:rsidR="008F78A3" w:rsidRDefault="006345B2">
      <w:pPr>
        <w:pStyle w:val="Pro-Gramma0"/>
        <w:spacing w:before="60"/>
      </w:pPr>
      <w:r>
        <w:t xml:space="preserve"> а) премиальные выплаты по итогам работы;</w:t>
      </w:r>
    </w:p>
    <w:p w:rsidR="008F78A3" w:rsidRDefault="006345B2">
      <w:pPr>
        <w:pStyle w:val="Pro-Gramma0"/>
        <w:spacing w:before="60"/>
      </w:pPr>
      <w:r>
        <w:t>в) премиальные выплаты за выполнение особо важных (срочных) работ;</w:t>
      </w:r>
    </w:p>
    <w:p w:rsidR="008F78A3" w:rsidRDefault="006345B2">
      <w:pPr>
        <w:pStyle w:val="Pro-Gramma0"/>
        <w:spacing w:before="60"/>
      </w:pPr>
      <w:r>
        <w:t>д) премиальные выплаты к значимым датам (событиям).</w:t>
      </w:r>
    </w:p>
    <w:p w:rsidR="008F78A3" w:rsidRDefault="006345B2">
      <w:pPr>
        <w:pStyle w:val="Pro-Gramma0"/>
        <w:spacing w:before="60"/>
      </w:pPr>
      <w:r>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8F78A3" w:rsidRDefault="006345B2">
      <w:pPr>
        <w:pStyle w:val="Pro-Gramma0"/>
        <w:spacing w:before="60"/>
      </w:pPr>
      <w:r>
        <w:t>4.5. Премиальные выплаты по итогам работы осуществляются:</w:t>
      </w:r>
    </w:p>
    <w:p w:rsidR="008F78A3" w:rsidRDefault="006345B2">
      <w:pPr>
        <w:pStyle w:val="Pro-Gramma0"/>
        <w:spacing w:before="60"/>
      </w:pPr>
      <w:r>
        <w:t>- руководителю - по итогам работы учреждения;</w:t>
      </w:r>
    </w:p>
    <w:p w:rsidR="008F78A3" w:rsidRDefault="006345B2">
      <w:pPr>
        <w:pStyle w:val="Pro-Gramma0"/>
        <w:spacing w:before="60"/>
      </w:pPr>
      <w:r>
        <w:t>- работникам учреждения - по итогам работы  учреждения и ( или) структурного подразделения учреждения, и  (или) по итогам работы  конкретного работника.</w:t>
      </w:r>
    </w:p>
    <w:p w:rsidR="008F78A3" w:rsidRDefault="006345B2">
      <w:pPr>
        <w:pStyle w:val="Pro-Gramma0"/>
        <w:spacing w:before="60"/>
      </w:pPr>
      <w:r>
        <w:t>4.6. Премиальные выплаты по итогам работы выплачиваются с периодичностью подведения итогов работы соответственно учреждения, работника – ежемесячно, ежеквартально, за календарный год.</w:t>
      </w:r>
    </w:p>
    <w:p w:rsidR="008F78A3" w:rsidRDefault="006345B2">
      <w:pPr>
        <w:pStyle w:val="Pro-Gramma0"/>
        <w:spacing w:before="60"/>
      </w:pPr>
      <w: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(работника) и (или) критериев оценки деятельности учреждения (работника) (далее – КПЭ, критерии оценки деятельности). </w:t>
      </w:r>
    </w:p>
    <w:p w:rsidR="008F78A3" w:rsidRDefault="006345B2">
      <w:pPr>
        <w:pStyle w:val="Pro-Gramma0"/>
        <w:spacing w:before="60"/>
      </w:pPr>
      <w:r>
        <w:t>Перечень КПЭ и (или) критериев оценки деятельности рекомендуется устанавливать в разрезе основных направлений деятельности соответственно учреждения, работника.</w:t>
      </w:r>
    </w:p>
    <w:p w:rsidR="008F78A3" w:rsidRDefault="006345B2">
      <w:pPr>
        <w:pStyle w:val="Pro-Gramma0"/>
      </w:pPr>
      <w:r>
        <w:t>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8F78A3" w:rsidRDefault="006345B2">
      <w:pPr>
        <w:pStyle w:val="Pro-Gramma0"/>
      </w:pPr>
      <w: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8F78A3" w:rsidRDefault="006345B2">
      <w:pPr>
        <w:pStyle w:val="Pro-Gramma0"/>
      </w:pPr>
      <w:r>
        <w:t>В отношении каждого работника рекомендуется устанавливать не более десяти КПЭ, критериев оценки деятельности.</w:t>
      </w:r>
    </w:p>
    <w:p w:rsidR="008F78A3" w:rsidRDefault="006345B2">
      <w:pPr>
        <w:pStyle w:val="Pro-Gramma0"/>
      </w:pPr>
      <w:r>
        <w:t>4.8. Требования к КПЭ, применяемым для определения размера премиальных выплат по итогам работы:</w:t>
      </w:r>
    </w:p>
    <w:p w:rsidR="008F78A3" w:rsidRDefault="006345B2">
      <w:pPr>
        <w:pStyle w:val="Pro-Gramma0"/>
      </w:pPr>
      <w:r>
        <w:lastRenderedPageBreak/>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8F78A3" w:rsidRDefault="006345B2">
      <w:pPr>
        <w:pStyle w:val="Pro-Gramma0"/>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оказыва8ют минимальное влияние на достижение плановых значений КПЭ;</w:t>
      </w:r>
    </w:p>
    <w:p w:rsidR="008F78A3" w:rsidRDefault="006345B2">
      <w:pPr>
        <w:pStyle w:val="Pro-Gramma0"/>
      </w:pPr>
      <w: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8F78A3" w:rsidRDefault="006345B2">
      <w:pPr>
        <w:pStyle w:val="Pro-Gramma0"/>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8F78A3" w:rsidRDefault="006345B2">
      <w:pPr>
        <w:pStyle w:val="Pro-Gramma0"/>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8F78A3" w:rsidRDefault="006345B2">
      <w:pPr>
        <w:pStyle w:val="Pro-Gramma0"/>
      </w:pPr>
      <w: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8F78A3" w:rsidRDefault="006345B2">
      <w:pPr>
        <w:pStyle w:val="Pro-Gramma0"/>
      </w:pPr>
      <w:r>
        <w:t>- для руководителя учреждения – нормативным правовым актом уполномоченного органа;</w:t>
      </w:r>
    </w:p>
    <w:p w:rsidR="008F78A3" w:rsidRDefault="006345B2">
      <w:pPr>
        <w:pStyle w:val="Pro-Gramma0"/>
        <w:spacing w:before="60"/>
      </w:pPr>
      <w:r>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8F78A3" w:rsidRDefault="006345B2">
      <w:pPr>
        <w:pStyle w:val="Pro-Gramma0"/>
      </w:pPr>
      <w:r>
        <w:t>- для прочих работников учреждения – локальным нормативным актом учреждения.</w:t>
      </w:r>
    </w:p>
    <w:p w:rsidR="008F78A3" w:rsidRDefault="006345B2">
      <w:pPr>
        <w:pStyle w:val="Pro-Gramma0"/>
      </w:pPr>
      <w:r>
        <w:t>4.10. В целях определения размера премиальных выплат по итогам работы устанавливают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8F78A3" w:rsidRDefault="006345B2">
      <w:pPr>
        <w:pStyle w:val="Pro-Gramma0"/>
      </w:pPr>
      <w:r>
        <w:t>- в абсолютной величине (рублях);</w:t>
      </w:r>
    </w:p>
    <w:p w:rsidR="008F78A3" w:rsidRDefault="006345B2">
      <w:pPr>
        <w:pStyle w:val="Pro-Gramma0"/>
      </w:pPr>
      <w:r>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8F78A3" w:rsidRDefault="006345B2">
      <w:pPr>
        <w:pStyle w:val="Pro-Gramma0"/>
      </w:pPr>
      <w:r>
        <w:t>- 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8F78A3" w:rsidRDefault="006345B2">
      <w:pPr>
        <w:pStyle w:val="Pro-Gramma0"/>
      </w:pPr>
      <w: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должностей работников учреждения и должен соответствовать стопроцентному достижению всех плановых значений КПЭ и (или) критериев оценки деятельности (максимальному количеству баллов, которое может набрать </w:t>
      </w:r>
      <w:r>
        <w:lastRenderedPageBreak/>
        <w:t>работник, - в случае определения размера премиальных выплат на основе балльной оценки).</w:t>
      </w:r>
    </w:p>
    <w:p w:rsidR="008F78A3" w:rsidRDefault="006345B2">
      <w:pPr>
        <w:pStyle w:val="Pro-Gramma0"/>
      </w:pPr>
      <w:r>
        <w:t>4.11. Для каждого КПЭ, критерия оценки деятельности, применяемых для определения размера премиальных выплат по итогам работы, устанавливается:</w:t>
      </w:r>
    </w:p>
    <w:p w:rsidR="008F78A3" w:rsidRDefault="006345B2">
      <w:pPr>
        <w:pStyle w:val="Pro-Gramma0"/>
      </w:pPr>
      <w: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рублях, соответствующая КПЭ, критерию оценки деятельности;</w:t>
      </w:r>
    </w:p>
    <w:p w:rsidR="008F78A3" w:rsidRDefault="006345B2">
      <w:pPr>
        <w:pStyle w:val="Pro-Gramma0"/>
      </w:pPr>
      <w:r>
        <w:t xml:space="preserve">-плановое значение КПЭ, критерия оценки деятельности либо порядок его определения; </w:t>
      </w:r>
    </w:p>
    <w:p w:rsidR="008F78A3" w:rsidRDefault="006345B2">
      <w:pPr>
        <w:pStyle w:val="Pro-Gramma0"/>
      </w:pPr>
      <w:r>
        <w:t>-механизм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8F78A3" w:rsidRDefault="006345B2">
      <w:pPr>
        <w:pStyle w:val="Pro-Gramma0"/>
      </w:pPr>
      <w: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8F78A3" w:rsidRDefault="006345B2">
      <w:pPr>
        <w:pStyle w:val="Pro-Gramma0"/>
      </w:pPr>
      <w:r>
        <w:t>4.12. Размер премиальных выплат по итогам работы определяется пропорционально фактически отработанному времени (за исключением руководителя).</w:t>
      </w:r>
    </w:p>
    <w:p w:rsidR="008F78A3" w:rsidRDefault="006345B2">
      <w:pPr>
        <w:pStyle w:val="Pro-Gramma0"/>
      </w:pPr>
      <w:r>
        <w:t>4.13. В случае установления стимулирующей надбавки по итогам работы, результаты деятельности работника оценивается не чаще одного раза в квартал.</w:t>
      </w:r>
    </w:p>
    <w:p w:rsidR="008F78A3" w:rsidRDefault="006345B2">
      <w:pPr>
        <w:pStyle w:val="Pro-Gramma0"/>
      </w:pPr>
      <w:r>
        <w:t xml:space="preserve"> 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8F78A3" w:rsidRDefault="006345B2">
      <w:pPr>
        <w:pStyle w:val="Pro-Gramma0"/>
      </w:pPr>
      <w:r>
        <w:t>4.14. Стимулирующая надбавка по итогам устанавливается на квартал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p>
    <w:p w:rsidR="008F78A3" w:rsidRDefault="006345B2">
      <w:pPr>
        <w:pStyle w:val="Pro-Gramma0"/>
      </w:pPr>
      <w: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8F78A3" w:rsidRDefault="006345B2">
      <w:pPr>
        <w:pStyle w:val="Pro-Gramma0"/>
      </w:pPr>
      <w: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8F78A3" w:rsidRDefault="006345B2">
      <w:pPr>
        <w:pStyle w:val="Pro-Gramma0"/>
      </w:pPr>
      <w: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8F78A3" w:rsidRDefault="006345B2">
      <w:pPr>
        <w:pStyle w:val="Pro-Gramma0"/>
      </w:pPr>
      <w:r>
        <w:lastRenderedPageBreak/>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w:t>
      </w:r>
    </w:p>
    <w:p w:rsidR="008F78A3" w:rsidRDefault="006345B2">
      <w:pPr>
        <w:pStyle w:val="Pro-Gramma0"/>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8F78A3" w:rsidRDefault="006345B2">
      <w:pPr>
        <w:pStyle w:val="Pro-Gramma0"/>
      </w:pPr>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8F78A3" w:rsidRDefault="006345B2">
      <w:pPr>
        <w:pStyle w:val="Pro-Gramma0"/>
      </w:pPr>
      <w:r>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8F78A3" w:rsidRDefault="006345B2">
      <w:pPr>
        <w:pStyle w:val="Pro-Gramma0"/>
      </w:pPr>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w:t>
      </w:r>
    </w:p>
    <w:p w:rsidR="008F78A3" w:rsidRDefault="006345B2">
      <w:pPr>
        <w:pStyle w:val="Pro-Gramma0"/>
      </w:pPr>
      <w:r>
        <w:t xml:space="preserve">4.20. Виды премиальных выплат к значимым датам (событиям): </w:t>
      </w:r>
    </w:p>
    <w:p w:rsidR="008F78A3" w:rsidRDefault="006345B2">
      <w:pPr>
        <w:pStyle w:val="Pro-Gramma0"/>
      </w:pPr>
      <w:r>
        <w:t>- к профессиональным праздникам;</w:t>
      </w:r>
    </w:p>
    <w:p w:rsidR="008F78A3" w:rsidRDefault="006345B2">
      <w:pPr>
        <w:pStyle w:val="Pro-Gramma0"/>
      </w:pPr>
      <w:r>
        <w:t>- к юбилейным датам;</w:t>
      </w:r>
    </w:p>
    <w:p w:rsidR="008F78A3" w:rsidRDefault="006345B2">
      <w:pPr>
        <w:pStyle w:val="Pro-Gramma0"/>
      </w:pPr>
      <w: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8F78A3" w:rsidRDefault="006345B2">
      <w:pPr>
        <w:pStyle w:val="Pro-Gramma0"/>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8F78A3" w:rsidRDefault="006345B2">
      <w:pPr>
        <w:pStyle w:val="Pro-Gramma0"/>
      </w:pPr>
      <w:r>
        <w:t>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8F78A3" w:rsidRDefault="006345B2">
      <w:pPr>
        <w:pStyle w:val="Pro-Gramma0"/>
      </w:pPr>
      <w:r>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8F78A3" w:rsidRDefault="006345B2">
      <w:pPr>
        <w:pStyle w:val="Pro-Gramma0"/>
      </w:pPr>
      <w:r>
        <w:t>Профессиональная стимулирующая надбавка не может быть установлена по всем должностям работников учреждения, входящим в одну ПКГ, один КУ.</w:t>
      </w:r>
    </w:p>
    <w:p w:rsidR="008F78A3" w:rsidRDefault="006345B2">
      <w:pPr>
        <w:pStyle w:val="Pro-Gramma0"/>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8F78A3" w:rsidRDefault="006345B2">
      <w:pPr>
        <w:pStyle w:val="Pro-Gramma0"/>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8F78A3" w:rsidRDefault="006345B2">
      <w:pPr>
        <w:pStyle w:val="Pro-Gramma0"/>
      </w:pPr>
      <w:r>
        <w:lastRenderedPageBreak/>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8F78A3" w:rsidRDefault="006345B2">
      <w:pPr>
        <w:pStyle w:val="Pro-Gramma0"/>
      </w:pPr>
      <w:r>
        <w:t xml:space="preserve">Для руководителя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 </w:t>
      </w:r>
    </w:p>
    <w:p w:rsidR="008F78A3" w:rsidRDefault="006345B2">
      <w:pPr>
        <w:pStyle w:val="Pro-Gramma0"/>
      </w:pPr>
      <w:r>
        <w:t xml:space="preserve">-выявления в отчетном периоде фактов нецелевого использования бюджетных средств; </w:t>
      </w:r>
    </w:p>
    <w:p w:rsidR="008F78A3" w:rsidRDefault="006345B2">
      <w:pPr>
        <w:pStyle w:val="Pro-Gramma0"/>
      </w:pPr>
      <w:r>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8F78A3" w:rsidRDefault="006345B2">
      <w:pPr>
        <w:pStyle w:val="Pro-Gramma0"/>
      </w:pPr>
      <w: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8F78A3" w:rsidRDefault="006345B2">
      <w:pPr>
        <w:pStyle w:val="Pro-Gramma0"/>
      </w:pPr>
      <w:r>
        <w:t xml:space="preserve">4.24. Размеры стимулирующих выплат работникам (за исключением руководителя учреждения) устанавливаются приказами (распоряжениями) учреждения. </w:t>
      </w:r>
    </w:p>
    <w:p w:rsidR="008F78A3" w:rsidRDefault="006345B2">
      <w:pPr>
        <w:pStyle w:val="Pro-Gramma0"/>
      </w:pPr>
      <w:r>
        <w:t>Размеры стимулирующих выплат руководителю учреждения устанавливаются распоряжениями уполномоченного органа.</w:t>
      </w:r>
    </w:p>
    <w:p w:rsidR="008F78A3" w:rsidRDefault="008F78A3">
      <w:pPr>
        <w:pStyle w:val="Pro-Gramma0"/>
      </w:pPr>
    </w:p>
    <w:p w:rsidR="008F78A3" w:rsidRDefault="006345B2">
      <w:pPr>
        <w:pStyle w:val="3"/>
        <w:jc w:val="center"/>
      </w:pPr>
      <w:r>
        <w:t>5. Порядок и предельные размеры оказания материальной помощи работникам</w:t>
      </w:r>
    </w:p>
    <w:p w:rsidR="008F78A3" w:rsidRDefault="008F78A3">
      <w:pPr>
        <w:pStyle w:val="Pro-Gramma0"/>
      </w:pPr>
    </w:p>
    <w:p w:rsidR="008F78A3" w:rsidRDefault="006345B2">
      <w:pPr>
        <w:pStyle w:val="Pro-Gramma0"/>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8F78A3" w:rsidRDefault="006345B2">
      <w:pPr>
        <w:pStyle w:val="Pro-Gramma0"/>
      </w:pPr>
      <w:r>
        <w:t>Решение об оказании материальной помощи руководителю учреждения принимается уполномоченным органом.</w:t>
      </w:r>
    </w:p>
    <w:p w:rsidR="008F78A3" w:rsidRDefault="006345B2">
      <w:pPr>
        <w:pStyle w:val="Pro-Gramma0"/>
      </w:pPr>
      <w:r>
        <w:t>5.2. Размер материальной помощи отдельному работнику не может превышать 6 размеров месячных должных окладов (окладов) работника в целом за календарный год.</w:t>
      </w:r>
    </w:p>
    <w:p w:rsidR="008F78A3" w:rsidRDefault="006345B2">
      <w:pPr>
        <w:pStyle w:val="Pro-Gramma0"/>
      </w:pPr>
      <w: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8F78A3" w:rsidRDefault="008F78A3">
      <w:pPr>
        <w:pStyle w:val="Pro-Gramma0"/>
      </w:pPr>
    </w:p>
    <w:p w:rsidR="008F78A3" w:rsidRDefault="006345B2">
      <w:pPr>
        <w:pStyle w:val="3"/>
        <w:jc w:val="center"/>
      </w:pPr>
      <w:r>
        <w:t>6. Порядок формирования и использования фонда оплаты труда учреждения</w:t>
      </w:r>
    </w:p>
    <w:p w:rsidR="008F78A3" w:rsidRDefault="008F78A3">
      <w:pPr>
        <w:pStyle w:val="Pro-Gramma0"/>
        <w:jc w:val="center"/>
      </w:pPr>
    </w:p>
    <w:p w:rsidR="008F78A3" w:rsidRDefault="006345B2">
      <w:pPr>
        <w:pStyle w:val="Pro-Gramma0"/>
      </w:pPr>
      <w:r>
        <w:t>6.1. Годовой фонд оплаты труда работников учреждения определяется по формуле:</w:t>
      </w:r>
    </w:p>
    <w:p w:rsidR="008F78A3" w:rsidRDefault="008F78A3">
      <w:pPr>
        <w:pStyle w:val="Pro-Gramma0"/>
      </w:pPr>
    </w:p>
    <w:p w:rsidR="008F78A3" w:rsidRDefault="006345B2">
      <w:pPr>
        <w:pStyle w:val="Pro-Gramma0"/>
      </w:pPr>
      <m:oMathPara>
        <m:oMath>
          <m:r>
            <w:rPr>
              <w:rFonts w:ascii="Cambria Math" w:hAnsi="Cambria Math"/>
            </w:rPr>
            <m:t>ФОТ=</m:t>
          </m:r>
          <m:d>
            <m:dPr>
              <m:begChr m:val="["/>
              <m:endChr m:val="]"/>
              <m:ctrlPr>
                <w:rPr>
                  <w:rFonts w:ascii="Cambria Math" w:hAnsi="Cambria Math"/>
                </w:rPr>
              </m:ctrlPr>
            </m:dPr>
            <m:e>
              <m:nary>
                <m:naryPr>
                  <m:chr m:val="∑"/>
                  <m:subHide m:val="on"/>
                  <m:supHide m:val="on"/>
                  <m:ctrlPr>
                    <w:rPr>
                      <w:rFonts w:ascii="Cambria Math" w:hAnsi="Cambria Math"/>
                    </w:rPr>
                  </m:ctrlPr>
                </m:naryPr>
                <m:sub/>
                <m:sup/>
                <m:e>
                  <m:r>
                    <w:rPr>
                      <w:rFonts w:ascii="Cambria Math" w:hAnsi="Cambria Math"/>
                    </w:rPr>
                    <m:t>12×</m:t>
                  </m:r>
                  <m:d>
                    <m:dPr>
                      <m:ctrlPr>
                        <w:rPr>
                          <w:rFonts w:ascii="Cambria Math" w:hAnsi="Cambria Math"/>
                        </w:rPr>
                      </m:ctrlPr>
                    </m:dPr>
                    <m:e>
                      <m:sSub>
                        <m:sSubPr>
                          <m:ctrlPr>
                            <w:rPr>
                              <w:rFonts w:ascii="Cambria Math" w:hAnsi="Cambria Math"/>
                            </w:rPr>
                          </m:ctrlPr>
                        </m:sSubPr>
                        <m:e>
                          <m:r>
                            <w:rPr>
                              <w:rFonts w:ascii="Cambria Math" w:hAnsi="Cambria Math"/>
                            </w:rPr>
                            <m:t>МДО</m:t>
                          </m:r>
                        </m:e>
                        <m:sub>
                          <m:r>
                            <w:rPr>
                              <w:rFonts w:ascii="Cambria Math" w:hAnsi="Cambria Math"/>
                            </w:rPr>
                            <m:t>i</m:t>
                          </m:r>
                        </m:sub>
                      </m:sSub>
                    </m:e>
                  </m:d>
                </m:e>
              </m:nary>
            </m:e>
          </m:d>
          <m:r>
            <w:rPr>
              <w:rFonts w:ascii="Cambria Math" w:hAnsi="Cambria Math"/>
            </w:rPr>
            <m:t>×</m:t>
          </m:r>
          <m:d>
            <m:dPr>
              <m:ctrlPr>
                <w:rPr>
                  <w:rFonts w:ascii="Cambria Math" w:hAnsi="Cambria Math"/>
                </w:rPr>
              </m:ctrlPr>
            </m:dPr>
            <m:e>
              <m:r>
                <w:rPr>
                  <w:rFonts w:ascii="Cambria Math" w:hAnsi="Cambria Math"/>
                </w:rPr>
                <m:t>1+НТФ</m:t>
              </m:r>
            </m:e>
          </m:d>
          <m:r>
            <w:rPr>
              <w:rFonts w:ascii="Cambria Math" w:hAnsi="Cambria Math"/>
            </w:rPr>
            <m:t>,</m:t>
          </m:r>
        </m:oMath>
      </m:oMathPara>
    </w:p>
    <w:p w:rsidR="008F78A3" w:rsidRDefault="006345B2">
      <w:pPr>
        <w:pStyle w:val="Pro-Gramma0"/>
      </w:pPr>
      <w:r>
        <w:t>где:</w:t>
      </w:r>
    </w:p>
    <w:p w:rsidR="008F78A3" w:rsidRDefault="006345B2">
      <w:pPr>
        <w:pStyle w:val="Pro-Gramma0"/>
      </w:pPr>
      <w:r>
        <w:lastRenderedPageBreak/>
        <w:t>МДОi – минимальный уровень должностного оклада (оклада, ставки заработной платы) по i-й штатной единице ГКУ, определяемый в соответствии с пунктами 2.5, 2.8,2.9 настоящего Положения;</w:t>
      </w:r>
    </w:p>
    <w:p w:rsidR="008F78A3" w:rsidRDefault="006345B2">
      <w:pPr>
        <w:pStyle w:val="Pro-Gramma0"/>
        <w:rPr>
          <w:color w:val="FF0000"/>
        </w:rPr>
      </w:pPr>
      <w:r>
        <w:t xml:space="preserve">НТФ – отношение компенсационных и стимулирующих выплат к окладно-ставочной части заработной платы </w:t>
      </w:r>
      <w:r>
        <w:rPr>
          <w:color w:val="FF0000"/>
        </w:rPr>
        <w:t xml:space="preserve"> соответствует 0,58.</w:t>
      </w:r>
    </w:p>
    <w:p w:rsidR="008F78A3" w:rsidRDefault="006345B2">
      <w:pPr>
        <w:pStyle w:val="Pro-Gramma0"/>
      </w:pPr>
      <w:r>
        <w:t>6.2. В учреждении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8F78A3" w:rsidRDefault="006345B2">
      <w:pPr>
        <w:pStyle w:val="Pro-Gramma0"/>
      </w:pPr>
      <w:r>
        <w:t>6.3.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пунктами 4.18,4.19, 4.21 и 5.3 настоящего Положения, а также иных факторов, влияющих на эффективность оплаты труда в учреждении.</w:t>
      </w:r>
    </w:p>
    <w:p w:rsidR="008F78A3" w:rsidRDefault="008F78A3">
      <w:pPr>
        <w:pStyle w:val="Pro-Gramma0"/>
      </w:pPr>
    </w:p>
    <w:p w:rsidR="008F78A3" w:rsidRDefault="008F78A3">
      <w:pPr>
        <w:pStyle w:val="Pro-Gramma0"/>
      </w:pPr>
    </w:p>
    <w:p w:rsidR="008F78A3" w:rsidRDefault="008F78A3">
      <w:pPr>
        <w:pStyle w:val="3"/>
        <w:ind w:firstLine="7655"/>
      </w:pPr>
    </w:p>
    <w:p w:rsidR="008F78A3" w:rsidRDefault="008F78A3">
      <w:pPr>
        <w:pStyle w:val="3"/>
        <w:ind w:firstLine="7655"/>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6345B2">
      <w:pPr>
        <w:pStyle w:val="3"/>
        <w:ind w:firstLine="7655"/>
      </w:pPr>
      <w:r>
        <w:t>Приложение 1</w:t>
      </w:r>
    </w:p>
    <w:p w:rsidR="008F78A3" w:rsidRDefault="006345B2">
      <w:pPr>
        <w:pStyle w:val="Pro-Gramma0"/>
        <w:ind w:firstLine="7655"/>
      </w:pPr>
      <w:r>
        <w:t>к Положению</w:t>
      </w:r>
    </w:p>
    <w:p w:rsidR="008F78A3" w:rsidRDefault="008F78A3">
      <w:pPr>
        <w:pStyle w:val="Pro-Gramma0"/>
        <w:ind w:left="6804" w:firstLine="0"/>
      </w:pPr>
    </w:p>
    <w:p w:rsidR="008F78A3" w:rsidRDefault="006345B2">
      <w:pPr>
        <w:pStyle w:val="4"/>
      </w:pPr>
      <w:r>
        <w:t>Межуровневые коэффициенты по должностям рабочих, замещающих должности по общеотраслевым профессиям рабочих</w:t>
      </w:r>
    </w:p>
    <w:p w:rsidR="008F78A3" w:rsidRDefault="008F78A3">
      <w:pPr>
        <w:pStyle w:val="Pro-Gramma0"/>
        <w:jc w:val="center"/>
        <w:rPr>
          <w:b/>
        </w:rPr>
      </w:pPr>
    </w:p>
    <w:tbl>
      <w:tblPr>
        <w:tblStyle w:val="Pro-Table"/>
        <w:tblW w:w="10206" w:type="dxa"/>
        <w:tblInd w:w="108" w:type="dxa"/>
        <w:tblLook w:val="0000"/>
      </w:tblPr>
      <w:tblGrid>
        <w:gridCol w:w="2663"/>
        <w:gridCol w:w="992"/>
        <w:gridCol w:w="4253"/>
        <w:gridCol w:w="2298"/>
      </w:tblGrid>
      <w:tr w:rsidR="008F78A3" w:rsidTr="008F78A3">
        <w:trPr>
          <w:tblHeader/>
        </w:trPr>
        <w:tc>
          <w:tcPr>
            <w:tcW w:w="36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ПКГ, КУ, должности, не включенные в ПКГ</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Должности (профессии)</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Межуровневый коэффициент</w:t>
            </w:r>
          </w:p>
        </w:tc>
      </w:tr>
      <w:tr w:rsidR="008F78A3" w:rsidTr="008F78A3">
        <w:tc>
          <w:tcPr>
            <w:tcW w:w="26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ind w:left="34"/>
              <w:rPr>
                <w:rFonts w:ascii="Tahoma" w:hAnsi="Tahoma"/>
                <w:sz w:val="16"/>
                <w:szCs w:val="20"/>
              </w:rPr>
            </w:pPr>
            <w:r>
              <w:rPr>
                <w:rFonts w:ascii="Tahoma" w:hAnsi="Tahoma"/>
                <w:sz w:val="16"/>
                <w:szCs w:val="20"/>
              </w:rPr>
              <w:t>ПКГ «Общеотраслевые профессии рабочих первого уровня»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rPr>
                <w:rFonts w:ascii="Tahoma" w:hAnsi="Tahoma"/>
                <w:sz w:val="16"/>
                <w:szCs w:val="20"/>
              </w:rPr>
            </w:pPr>
            <w:r>
              <w:rPr>
                <w:rFonts w:ascii="Tahoma" w:hAnsi="Tahoma"/>
                <w:sz w:val="16"/>
                <w:szCs w:val="20"/>
              </w:rPr>
              <w:t>1-й КУ</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1,05</w:t>
            </w:r>
          </w:p>
        </w:tc>
      </w:tr>
      <w:tr w:rsidR="008F78A3" w:rsidTr="008F78A3">
        <w:tc>
          <w:tcPr>
            <w:tcW w:w="26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ind w:left="34"/>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rPr>
                <w:rFonts w:ascii="Tahoma" w:hAnsi="Tahoma"/>
                <w:sz w:val="16"/>
                <w:szCs w:val="20"/>
              </w:rPr>
            </w:pPr>
            <w:r>
              <w:rPr>
                <w:rFonts w:ascii="Tahoma" w:hAnsi="Tahoma"/>
                <w:sz w:val="16"/>
                <w:szCs w:val="20"/>
              </w:rPr>
              <w:t>2-й КУ</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1,10</w:t>
            </w:r>
          </w:p>
        </w:tc>
      </w:tr>
      <w:tr w:rsidR="008F78A3" w:rsidTr="008F78A3">
        <w:tc>
          <w:tcPr>
            <w:tcW w:w="26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ind w:left="34"/>
              <w:rPr>
                <w:rFonts w:ascii="Tahoma" w:hAnsi="Tahoma"/>
                <w:sz w:val="16"/>
                <w:szCs w:val="20"/>
              </w:rPr>
            </w:pPr>
            <w:r>
              <w:rPr>
                <w:rFonts w:ascii="Tahoma" w:hAnsi="Tahoma"/>
                <w:sz w:val="16"/>
                <w:szCs w:val="20"/>
              </w:rPr>
              <w:t>ПКГ «Общеотраслевые профессии рабочих второго уровня»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rPr>
                <w:rFonts w:ascii="Tahoma" w:hAnsi="Tahoma"/>
                <w:sz w:val="16"/>
                <w:szCs w:val="20"/>
              </w:rPr>
            </w:pPr>
            <w:r>
              <w:rPr>
                <w:rFonts w:ascii="Tahoma" w:hAnsi="Tahoma"/>
                <w:sz w:val="16"/>
                <w:szCs w:val="20"/>
              </w:rPr>
              <w:t>1-й КУ</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1,20</w:t>
            </w:r>
          </w:p>
        </w:tc>
      </w:tr>
      <w:tr w:rsidR="008F78A3" w:rsidTr="008F78A3">
        <w:tc>
          <w:tcPr>
            <w:tcW w:w="26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ind w:left="34"/>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rPr>
                <w:rFonts w:ascii="Tahoma" w:hAnsi="Tahoma"/>
                <w:sz w:val="16"/>
                <w:szCs w:val="20"/>
              </w:rPr>
            </w:pPr>
            <w:r>
              <w:rPr>
                <w:rFonts w:ascii="Tahoma" w:hAnsi="Tahoma"/>
                <w:sz w:val="16"/>
                <w:szCs w:val="20"/>
              </w:rPr>
              <w:t>2-й КУ</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1,40</w:t>
            </w:r>
          </w:p>
        </w:tc>
      </w:tr>
      <w:tr w:rsidR="008F78A3" w:rsidTr="008F78A3">
        <w:tc>
          <w:tcPr>
            <w:tcW w:w="26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ind w:left="34"/>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rPr>
                <w:rFonts w:ascii="Tahoma" w:hAnsi="Tahoma"/>
                <w:sz w:val="16"/>
                <w:szCs w:val="20"/>
              </w:rPr>
            </w:pPr>
            <w:r>
              <w:rPr>
                <w:rFonts w:ascii="Tahoma" w:hAnsi="Tahoma"/>
                <w:sz w:val="16"/>
                <w:szCs w:val="20"/>
              </w:rPr>
              <w:t>3-й КУ</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1,60</w:t>
            </w:r>
          </w:p>
        </w:tc>
      </w:tr>
      <w:tr w:rsidR="008F78A3" w:rsidTr="008F78A3">
        <w:tc>
          <w:tcPr>
            <w:tcW w:w="26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ind w:left="34"/>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rPr>
                <w:rFonts w:ascii="Tahoma" w:hAnsi="Tahoma"/>
                <w:sz w:val="16"/>
                <w:szCs w:val="20"/>
              </w:rPr>
            </w:pPr>
            <w:r>
              <w:rPr>
                <w:rFonts w:ascii="Tahoma" w:hAnsi="Tahoma"/>
                <w:sz w:val="16"/>
                <w:szCs w:val="20"/>
              </w:rPr>
              <w:t>4-й КУ &lt;1&gt;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both"/>
              <w:rPr>
                <w:rFonts w:ascii="Tahoma" w:hAnsi="Tahoma"/>
                <w:sz w:val="16"/>
                <w:szCs w:val="20"/>
              </w:rPr>
            </w:pPr>
            <w:r>
              <w:rPr>
                <w:rFonts w:ascii="Tahoma" w:hAnsi="Tahoma"/>
                <w:sz w:val="16"/>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ind w:left="34"/>
              <w:jc w:val="center"/>
              <w:rPr>
                <w:rFonts w:ascii="Tahoma" w:hAnsi="Tahoma"/>
                <w:sz w:val="16"/>
                <w:szCs w:val="20"/>
              </w:rPr>
            </w:pPr>
            <w:r>
              <w:rPr>
                <w:rFonts w:ascii="Tahoma" w:hAnsi="Tahoma"/>
                <w:sz w:val="16"/>
                <w:szCs w:val="20"/>
              </w:rPr>
              <w:t>1,80</w:t>
            </w:r>
          </w:p>
        </w:tc>
      </w:tr>
    </w:tbl>
    <w:p w:rsidR="008F78A3" w:rsidRDefault="006345B2">
      <w:pPr>
        <w:pStyle w:val="Pro-Tab"/>
        <w:jc w:val="both"/>
      </w:pPr>
      <w:r>
        <w:t>&lt;1&gt;</w:t>
      </w:r>
      <w:bookmarkStart w:id="2" w:name="_Hlk1741573"/>
      <w:bookmarkEnd w:id="2"/>
      <w:r>
        <w:t xml:space="preserve">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перечня профессий рабочих, выполняющих </w:t>
      </w:r>
      <w:r>
        <w:lastRenderedPageBreak/>
        <w:t>важные (особо важные) и ответственные (особо ответственные) работы согласно разделу 2 приложения 3 к настоящему Положению и утверждается локальным нормативным актом учреждения.</w:t>
      </w:r>
    </w:p>
    <w:p w:rsidR="008F78A3" w:rsidRDefault="006345B2">
      <w:pPr>
        <w:rPr>
          <w:rFonts w:ascii="Times New Roman" w:eastAsia="Times New Roman" w:hAnsi="Times New Roman" w:cs="Times New Roman"/>
          <w:bCs/>
          <w:sz w:val="24"/>
          <w:szCs w:val="24"/>
        </w:rPr>
      </w:pPr>
      <w:r>
        <w:br w:type="page"/>
      </w:r>
    </w:p>
    <w:p w:rsidR="008F78A3" w:rsidRDefault="006345B2">
      <w:pPr>
        <w:pStyle w:val="3"/>
        <w:ind w:firstLine="7655"/>
      </w:pPr>
      <w:r>
        <w:lastRenderedPageBreak/>
        <w:t>Приложение 2</w:t>
      </w:r>
    </w:p>
    <w:p w:rsidR="008F78A3" w:rsidRDefault="006345B2">
      <w:pPr>
        <w:pStyle w:val="Pro-Gramma0"/>
        <w:ind w:left="7655" w:firstLine="0"/>
      </w:pPr>
      <w:r>
        <w:t>к Положению</w:t>
      </w:r>
    </w:p>
    <w:p w:rsidR="008F78A3" w:rsidRDefault="008F78A3">
      <w:pPr>
        <w:pStyle w:val="Pro-Gramma0"/>
        <w:ind w:left="6804" w:firstLine="0"/>
      </w:pPr>
    </w:p>
    <w:p w:rsidR="008F78A3" w:rsidRDefault="006345B2">
      <w:pPr>
        <w:pStyle w:val="4"/>
      </w:pPr>
      <w:r>
        <w:t>Межуровневые коэффициенты по общеотраслевым должностям руководителей, специалистов и служащих</w:t>
      </w:r>
    </w:p>
    <w:p w:rsidR="008F78A3" w:rsidRDefault="008F78A3">
      <w:pPr>
        <w:pStyle w:val="Pro-Gramma0"/>
      </w:pPr>
    </w:p>
    <w:tbl>
      <w:tblPr>
        <w:tblStyle w:val="Pro-Table"/>
        <w:tblW w:w="10348" w:type="dxa"/>
        <w:tblInd w:w="108" w:type="dxa"/>
        <w:tblLook w:val="0000"/>
      </w:tblPr>
      <w:tblGrid>
        <w:gridCol w:w="1874"/>
        <w:gridCol w:w="992"/>
        <w:gridCol w:w="5781"/>
        <w:gridCol w:w="1701"/>
      </w:tblGrid>
      <w:tr w:rsidR="008F78A3" w:rsidTr="008F78A3">
        <w:trPr>
          <w:tblHeader/>
        </w:trPr>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ПКГ, КУ, должности, не включенные в ПКГ</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Должности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Межуровневый коэффициент</w:t>
            </w:r>
          </w:p>
        </w:tc>
      </w:tr>
      <w:tr w:rsidR="008F78A3" w:rsidTr="008F78A3">
        <w:tc>
          <w:tcPr>
            <w:tcW w:w="1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rPr>
                <w:rFonts w:ascii="Tahoma" w:hAnsi="Tahoma"/>
                <w:sz w:val="16"/>
                <w:szCs w:val="20"/>
              </w:rPr>
            </w:pPr>
            <w:r>
              <w:rPr>
                <w:rFonts w:ascii="Tahoma" w:hAnsi="Tahoma"/>
                <w:sz w:val="16"/>
                <w:szCs w:val="20"/>
              </w:rPr>
              <w:t>ПКГ «Общеотраслевые должности служащих первого уровня»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1-й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1,20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2-й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1,25</w:t>
            </w:r>
          </w:p>
        </w:tc>
      </w:tr>
      <w:tr w:rsidR="008F78A3" w:rsidTr="008F78A3">
        <w:tc>
          <w:tcPr>
            <w:tcW w:w="1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rPr>
                <w:rFonts w:ascii="Tahoma" w:hAnsi="Tahoma"/>
                <w:sz w:val="16"/>
                <w:szCs w:val="20"/>
              </w:rPr>
            </w:pPr>
            <w:r>
              <w:rPr>
                <w:rFonts w:ascii="Tahoma" w:hAnsi="Tahoma"/>
                <w:sz w:val="16"/>
                <w:szCs w:val="20"/>
              </w:rPr>
              <w:t>Г «Общеотраслевые должности служащих второго уровня»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1-й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1,30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2-й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устанавливается II внутридолжностная категория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1,55</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устанавливается I внутридолжностная категория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1,70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4-й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Заведующий виварием; мастер контрольный (участка, цеха); мастер участка (включая старшего); механик; начальник автоколонны.</w:t>
            </w:r>
          </w:p>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1,75</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5-й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Начальник гаража; начальник (заведующий) мастерской; начальник ремонтного цеха; начальник смены (участка); начальник цеха (участка)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1,90</w:t>
            </w:r>
          </w:p>
        </w:tc>
      </w:tr>
      <w:tr w:rsidR="008F78A3" w:rsidTr="008F78A3">
        <w:trPr>
          <w:trHeight w:val="14818"/>
        </w:trPr>
        <w:tc>
          <w:tcPr>
            <w:tcW w:w="1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rPr>
                <w:rFonts w:ascii="Tahoma" w:hAnsi="Tahoma"/>
                <w:sz w:val="16"/>
                <w:szCs w:val="20"/>
              </w:rPr>
            </w:pPr>
            <w:r>
              <w:rPr>
                <w:rFonts w:ascii="Tahoma" w:hAnsi="Tahoma"/>
                <w:sz w:val="16"/>
                <w:szCs w:val="20"/>
              </w:rPr>
              <w:lastRenderedPageBreak/>
              <w:t>Г «Общеотраслевые должности служащих третьего уровня»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1-й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p w:rsidR="008F78A3" w:rsidRDefault="008F78A3">
            <w:pPr>
              <w:pStyle w:val="Pro-Tab"/>
              <w:spacing w:after="60"/>
              <w:jc w:val="both"/>
              <w:rPr>
                <w:rFonts w:ascii="Tahoma" w:hAnsi="Tahoma"/>
                <w:sz w:val="16"/>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1,95</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2-й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2,05</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2,20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4-й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2,30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5-й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2,50</w:t>
            </w:r>
          </w:p>
        </w:tc>
      </w:tr>
      <w:tr w:rsidR="008F78A3" w:rsidTr="008F78A3">
        <w:tc>
          <w:tcPr>
            <w:tcW w:w="1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rPr>
                <w:rFonts w:ascii="Tahoma" w:hAnsi="Tahoma"/>
                <w:sz w:val="16"/>
                <w:szCs w:val="20"/>
              </w:rPr>
            </w:pPr>
            <w:r>
              <w:rPr>
                <w:rFonts w:ascii="Tahoma" w:hAnsi="Tahoma"/>
                <w:sz w:val="16"/>
                <w:szCs w:val="20"/>
              </w:rPr>
              <w:t>ПКГ «Общеотраслевые должности служащих четвертого уровня»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1-й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3,00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2-й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pPr>
            <w:r>
              <w:rPr>
                <w:rFonts w:ascii="Tahoma" w:hAnsi="Tahoma"/>
                <w:sz w:val="16"/>
                <w:szCs w:val="20"/>
              </w:rPr>
              <w:t>Главный</w:t>
            </w:r>
            <w:hyperlink r:id="rId8" w:anchor="block_1111" w:history="1">
              <w:r>
                <w:rPr>
                  <w:rFonts w:ascii="Tahoma" w:hAnsi="Tahoma"/>
                  <w:sz w:val="16"/>
                  <w:szCs w:val="20"/>
                </w:rPr>
                <w:t>&lt;1&gt;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hyperlink>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3,10</w:t>
            </w:r>
          </w:p>
        </w:tc>
      </w:tr>
      <w:tr w:rsidR="008F78A3" w:rsidTr="008F78A3">
        <w:tc>
          <w:tcPr>
            <w:tcW w:w="18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3-й КУ</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both"/>
              <w:rPr>
                <w:rFonts w:ascii="Tahoma" w:hAnsi="Tahoma"/>
                <w:sz w:val="16"/>
                <w:szCs w:val="20"/>
              </w:rPr>
            </w:pPr>
            <w:r>
              <w:rPr>
                <w:rFonts w:ascii="Tahoma" w:hAnsi="Tahoma"/>
                <w:sz w:val="16"/>
                <w:szCs w:val="20"/>
              </w:rPr>
              <w:t>Директор (начальник, заведующий) филиала, другого обособленного структурного подразделения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4,00</w:t>
            </w:r>
          </w:p>
        </w:tc>
      </w:tr>
      <w:tr w:rsidR="008F78A3" w:rsidTr="008F78A3">
        <w:tc>
          <w:tcPr>
            <w:tcW w:w="28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rPr>
                <w:rFonts w:ascii="Tahoma" w:hAnsi="Tahoma"/>
                <w:sz w:val="16"/>
                <w:szCs w:val="20"/>
              </w:rPr>
            </w:pPr>
            <w:r>
              <w:rPr>
                <w:rFonts w:ascii="Tahoma" w:hAnsi="Tahoma"/>
                <w:sz w:val="16"/>
                <w:szCs w:val="20"/>
              </w:rPr>
              <w:t>Должности, не включенные в ПКГ</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Оператор контактного центра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1,20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Специалист-стажер по приему и обработке экстренных вызовов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1,30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Архитектор программного обеспечения, младший сетевой администратор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1,75</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 xml:space="preserve">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w:t>
            </w:r>
            <w:r>
              <w:rPr>
                <w:rFonts w:ascii="Tahoma" w:hAnsi="Tahoma"/>
                <w:sz w:val="16"/>
                <w:szCs w:val="20"/>
                <w:highlight w:val="yellow"/>
              </w:rPr>
              <w:t>инспектор; начальник  службы-старший диспетчер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1,95</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2,05</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Специалист по охране труда I категории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2,20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2,30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Контрактный управляющий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2,50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Заместитель начальника отдела &lt;3&gt;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2,75</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Начальник (заведующий) сектора &lt;4&gt;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2,80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Начальник отдела&lt;5&gt;; руководитель проектов в области информационных технологий; руководитель службы охраны труда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3,00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Главный инженер, главный системный аналитик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3,10</w:t>
            </w:r>
          </w:p>
        </w:tc>
      </w:tr>
      <w:tr w:rsidR="008F78A3" w:rsidTr="008F78A3">
        <w:tc>
          <w:tcPr>
            <w:tcW w:w="2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8F78A3">
            <w:pPr>
              <w:pStyle w:val="Pro-Tab"/>
              <w:spacing w:after="60"/>
              <w:rPr>
                <w:rFonts w:ascii="Tahoma" w:hAnsi="Tahoma"/>
                <w:sz w:val="16"/>
                <w:szCs w:val="20"/>
              </w:rPr>
            </w:pP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8A3" w:rsidRDefault="006345B2">
            <w:pPr>
              <w:pStyle w:val="Pro-Tab"/>
              <w:spacing w:after="60"/>
              <w:jc w:val="both"/>
              <w:rPr>
                <w:rFonts w:ascii="Tahoma" w:hAnsi="Tahoma"/>
                <w:sz w:val="16"/>
                <w:szCs w:val="20"/>
              </w:rPr>
            </w:pPr>
            <w:r>
              <w:rPr>
                <w:rFonts w:ascii="Tahoma" w:hAnsi="Tahoma"/>
                <w:sz w:val="16"/>
                <w:szCs w:val="20"/>
              </w:rPr>
              <w:t>Заместитель директора (начальника, заведующего) филиала, другого обособленного структурного подразделения; ведущий руководитель проектов в области информационных технологий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3,50</w:t>
            </w:r>
          </w:p>
        </w:tc>
      </w:tr>
    </w:tbl>
    <w:p w:rsidR="008F78A3" w:rsidRDefault="006345B2">
      <w:pPr>
        <w:pStyle w:val="Pro-Tab"/>
        <w:jc w:val="both"/>
      </w:pPr>
      <w: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8F78A3" w:rsidRDefault="006345B2">
      <w:pPr>
        <w:pStyle w:val="Pro-Tab"/>
        <w:jc w:val="both"/>
        <w:rPr>
          <w:rFonts w:ascii="Verdana" w:hAnsi="Verdana" w:cs="Arial"/>
          <w:szCs w:val="26"/>
        </w:rPr>
      </w:pPr>
      <w:r>
        <w:t>&lt;2&gt; За исключением должностей ведущих специалистов отделов (секторов), включенных в ПКГ (КУ).</w:t>
      </w:r>
    </w:p>
    <w:p w:rsidR="008F78A3" w:rsidRDefault="006345B2">
      <w:pPr>
        <w:pStyle w:val="Pro-Tab"/>
        <w:jc w:val="both"/>
        <w:rPr>
          <w:rFonts w:ascii="Verdana" w:hAnsi="Verdana" w:cs="Arial"/>
          <w:szCs w:val="26"/>
        </w:rPr>
      </w:pPr>
      <w:r>
        <w:t>&lt;3&gt; За исключением должностей заместителей начальников отделов учреждений культуры, искусства и кинематографии.</w:t>
      </w:r>
    </w:p>
    <w:p w:rsidR="008F78A3" w:rsidRDefault="006345B2">
      <w:pPr>
        <w:pStyle w:val="Pro-Tab"/>
        <w:jc w:val="both"/>
        <w:rPr>
          <w:rFonts w:ascii="Verdana" w:hAnsi="Verdana" w:cs="Arial"/>
          <w:szCs w:val="26"/>
        </w:rPr>
      </w:pPr>
      <w:r>
        <w:t>&lt;4&gt; За исключением должностей начальников (заведующих) секторов, включенных в ПКГ (КУ).</w:t>
      </w:r>
    </w:p>
    <w:p w:rsidR="008F78A3" w:rsidRDefault="006345B2">
      <w:pPr>
        <w:pStyle w:val="Pro-Tab"/>
        <w:jc w:val="both"/>
        <w:rPr>
          <w:rFonts w:ascii="Verdana" w:hAnsi="Verdana" w:cs="Arial"/>
          <w:szCs w:val="26"/>
        </w:rPr>
      </w:pPr>
      <w:r>
        <w:t>&lt;5&gt; За исключением должностей начальников отделов, включенных в ПКГ (КУ).</w:t>
      </w:r>
    </w:p>
    <w:p w:rsidR="008F78A3" w:rsidRDefault="008F78A3">
      <w:pPr>
        <w:pStyle w:val="Pro-Gramma0"/>
      </w:pPr>
    </w:p>
    <w:p w:rsidR="008F78A3" w:rsidRDefault="006345B2">
      <w:pPr>
        <w:rPr>
          <w:rFonts w:ascii="Verdana" w:eastAsia="Times New Roman" w:hAnsi="Verdana" w:cs="Arial"/>
          <w:bCs/>
          <w:sz w:val="24"/>
          <w:szCs w:val="26"/>
        </w:rPr>
      </w:pPr>
      <w:r>
        <w:br w:type="page"/>
      </w:r>
    </w:p>
    <w:p w:rsidR="008F78A3" w:rsidRDefault="008F78A3">
      <w:pPr>
        <w:pStyle w:val="3"/>
        <w:ind w:firstLine="7655"/>
      </w:pPr>
    </w:p>
    <w:p w:rsidR="008F78A3" w:rsidRDefault="006345B2">
      <w:pPr>
        <w:pStyle w:val="3"/>
        <w:ind w:firstLine="7655"/>
      </w:pPr>
      <w:r>
        <w:t>Приложение 3</w:t>
      </w:r>
    </w:p>
    <w:p w:rsidR="008F78A3" w:rsidRDefault="006345B2">
      <w:pPr>
        <w:pStyle w:val="Pro-Gramma0"/>
        <w:ind w:left="6804" w:firstLine="851"/>
      </w:pPr>
      <w:r>
        <w:t>к Положению</w:t>
      </w:r>
    </w:p>
    <w:p w:rsidR="008F78A3" w:rsidRDefault="008F78A3">
      <w:pPr>
        <w:pStyle w:val="Pro-Gramma0"/>
        <w:jc w:val="center"/>
        <w:rPr>
          <w:b/>
        </w:rPr>
      </w:pPr>
    </w:p>
    <w:p w:rsidR="008F78A3" w:rsidRDefault="006345B2">
      <w:pPr>
        <w:pStyle w:val="4"/>
        <w:ind w:firstLine="709"/>
        <w:jc w:val="left"/>
      </w:pPr>
      <w:r>
        <w:t>1. Перечень должностей работников учреждения относимых к основному персоналу</w:t>
      </w:r>
    </w:p>
    <w:p w:rsidR="008F78A3" w:rsidRDefault="006345B2">
      <w:pPr>
        <w:pStyle w:val="Pro-Gramma0"/>
        <w:ind w:left="709" w:firstLine="0"/>
        <w:jc w:val="left"/>
        <w:rPr>
          <w:b/>
        </w:rPr>
      </w:pPr>
      <w:bookmarkStart w:id="3" w:name="_GoBack"/>
      <w:bookmarkEnd w:id="3"/>
      <w:r>
        <w:t>1. Водитель легковых  автомобилей, автобусов малого класса</w:t>
      </w:r>
    </w:p>
    <w:p w:rsidR="008F78A3" w:rsidRDefault="006345B2">
      <w:pPr>
        <w:pStyle w:val="Pro-Gramma0"/>
      </w:pPr>
      <w:r>
        <w:t>2. Инспектор</w:t>
      </w:r>
    </w:p>
    <w:p w:rsidR="008F78A3" w:rsidRDefault="006345B2">
      <w:pPr>
        <w:pStyle w:val="Pro-Gramma0"/>
      </w:pPr>
      <w:r>
        <w:t>3. Диспетчер</w:t>
      </w:r>
    </w:p>
    <w:p w:rsidR="008F78A3" w:rsidRDefault="008F78A3">
      <w:pPr>
        <w:pStyle w:val="Pro-Gramma0"/>
      </w:pPr>
    </w:p>
    <w:p w:rsidR="008F78A3" w:rsidRDefault="006345B2">
      <w:pPr>
        <w:pStyle w:val="4"/>
        <w:numPr>
          <w:ilvl w:val="0"/>
          <w:numId w:val="2"/>
        </w:numPr>
        <w:ind w:left="0" w:firstLine="709"/>
        <w:jc w:val="left"/>
      </w:pPr>
      <w:r>
        <w:t>Рекомендуемый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w:t>
      </w:r>
    </w:p>
    <w:p w:rsidR="008F78A3" w:rsidRDefault="006345B2">
      <w:pPr>
        <w:pStyle w:val="Pro-Gramma0"/>
        <w:numPr>
          <w:ilvl w:val="0"/>
          <w:numId w:val="3"/>
        </w:numPr>
        <w:ind w:left="0" w:firstLine="709"/>
        <w:jc w:val="left"/>
        <w:rPr>
          <w:b/>
        </w:rPr>
      </w:pPr>
      <w:r>
        <w:t>Водитель легковых  автомобилей, автобусов малого класса</w:t>
      </w:r>
    </w:p>
    <w:p w:rsidR="008F78A3" w:rsidRDefault="006345B2">
      <w:pPr>
        <w:pStyle w:val="Pro-Gramma0"/>
        <w:numPr>
          <w:ilvl w:val="0"/>
          <w:numId w:val="3"/>
        </w:numPr>
        <w:ind w:left="0" w:firstLine="709"/>
        <w:jc w:val="left"/>
        <w:rPr>
          <w:b/>
        </w:rPr>
      </w:pPr>
      <w:r>
        <w:t>Рабочий по комплексному обслуживанию зданий и сооружений</w:t>
      </w:r>
    </w:p>
    <w:p w:rsidR="008F78A3" w:rsidRDefault="008F78A3">
      <w:pPr>
        <w:spacing w:after="0" w:line="240" w:lineRule="auto"/>
        <w:ind w:firstLine="540"/>
        <w:jc w:val="both"/>
        <w:rPr>
          <w:rFonts w:ascii="Times New Roman" w:eastAsia="Times New Roman" w:hAnsi="Times New Roman" w:cs="Times New Roman"/>
          <w:bCs/>
          <w:sz w:val="28"/>
          <w:szCs w:val="28"/>
          <w:lang w:eastAsia="en-US"/>
        </w:rPr>
      </w:pPr>
    </w:p>
    <w:p w:rsidR="008F78A3" w:rsidRDefault="006345B2">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8F78A3" w:rsidRDefault="008F78A3">
      <w:pPr>
        <w:pStyle w:val="4"/>
        <w:ind w:firstLine="709"/>
        <w:jc w:val="left"/>
      </w:pPr>
    </w:p>
    <w:p w:rsidR="008F78A3" w:rsidRDefault="006345B2">
      <w:pPr>
        <w:pStyle w:val="4"/>
        <w:ind w:firstLine="709"/>
        <w:jc w:val="left"/>
      </w:pPr>
      <w:r>
        <w:t>3. Порядок отнесения учреждения к группе по оплате труда руководителей</w:t>
      </w:r>
    </w:p>
    <w:p w:rsidR="008F78A3" w:rsidRDefault="006345B2">
      <w:pPr>
        <w:pStyle w:val="Pro-TabName"/>
        <w:ind w:firstLine="709"/>
        <w:jc w:val="both"/>
        <w:rPr>
          <w:color w:val="00000A"/>
        </w:rPr>
      </w:pPr>
      <w:r>
        <w:rPr>
          <w:color w:val="00000A"/>
        </w:rPr>
        <w:t>1. Группа по оплате труда руководителей в зависимости от суммы баллов по объемным показателям</w:t>
      </w:r>
    </w:p>
    <w:tbl>
      <w:tblPr>
        <w:tblStyle w:val="Pro-Table"/>
        <w:tblW w:w="10282" w:type="dxa"/>
        <w:tblInd w:w="-5" w:type="dxa"/>
        <w:tblLook w:val="0000"/>
      </w:tblPr>
      <w:tblGrid>
        <w:gridCol w:w="5126"/>
        <w:gridCol w:w="5156"/>
      </w:tblGrid>
      <w:tr w:rsidR="008F78A3" w:rsidTr="008F78A3">
        <w:trPr>
          <w:trHeight w:val="343"/>
          <w:tblHeader/>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Сумма баллов по объемным показателям</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Группа по оплате труда</w:t>
            </w:r>
          </w:p>
        </w:tc>
      </w:tr>
      <w:tr w:rsidR="008F78A3" w:rsidTr="008F78A3">
        <w:trPr>
          <w:trHeight w:val="343"/>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lang w:val="en-US"/>
              </w:rPr>
            </w:pPr>
            <w:r>
              <w:rPr>
                <w:rFonts w:ascii="Tahoma" w:hAnsi="Tahoma"/>
                <w:sz w:val="16"/>
                <w:szCs w:val="20"/>
              </w:rPr>
              <w:t xml:space="preserve">более </w:t>
            </w:r>
            <w:r>
              <w:rPr>
                <w:rFonts w:ascii="Tahoma" w:hAnsi="Tahoma"/>
                <w:sz w:val="16"/>
                <w:szCs w:val="20"/>
                <w:lang w:val="en-US"/>
              </w:rPr>
              <w:t>700</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w:t>
            </w:r>
          </w:p>
        </w:tc>
      </w:tr>
      <w:tr w:rsidR="008F78A3" w:rsidTr="008F78A3">
        <w:trPr>
          <w:trHeight w:val="343"/>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 xml:space="preserve">от 300 до </w:t>
            </w:r>
            <w:r>
              <w:rPr>
                <w:rFonts w:ascii="Tahoma" w:hAnsi="Tahoma"/>
                <w:sz w:val="16"/>
                <w:szCs w:val="20"/>
                <w:lang w:val="en-US"/>
              </w:rPr>
              <w:t>7</w:t>
            </w:r>
            <w:r>
              <w:rPr>
                <w:rFonts w:ascii="Tahoma" w:hAnsi="Tahoma"/>
                <w:sz w:val="16"/>
                <w:szCs w:val="20"/>
              </w:rPr>
              <w:t xml:space="preserve">00 </w:t>
            </w:r>
            <w:r>
              <w:rPr>
                <w:rFonts w:ascii="Tahoma" w:hAnsi="Tahoma"/>
                <w:sz w:val="16"/>
                <w:szCs w:val="20"/>
                <w:lang w:val="en-US"/>
              </w:rPr>
              <w:t>&lt;1&gt;</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II</w:t>
            </w:r>
          </w:p>
        </w:tc>
      </w:tr>
      <w:tr w:rsidR="008F78A3" w:rsidTr="008F78A3">
        <w:trPr>
          <w:trHeight w:val="343"/>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от 150 до 300</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III</w:t>
            </w:r>
          </w:p>
        </w:tc>
      </w:tr>
      <w:tr w:rsidR="008F78A3" w:rsidTr="008F78A3">
        <w:trPr>
          <w:trHeight w:val="343"/>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от 70 до 150</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IV</w:t>
            </w:r>
          </w:p>
        </w:tc>
      </w:tr>
      <w:tr w:rsidR="008F78A3" w:rsidTr="008F78A3">
        <w:trPr>
          <w:trHeight w:val="343"/>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от 30 до 70</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V</w:t>
            </w:r>
          </w:p>
        </w:tc>
      </w:tr>
      <w:tr w:rsidR="008F78A3" w:rsidTr="008F78A3">
        <w:trPr>
          <w:trHeight w:val="343"/>
        </w:trPr>
        <w:tc>
          <w:tcPr>
            <w:tcW w:w="5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30 и менее</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8F78A3" w:rsidRDefault="006345B2">
            <w:pPr>
              <w:pStyle w:val="Pro-Tab"/>
              <w:spacing w:after="60"/>
              <w:jc w:val="center"/>
              <w:rPr>
                <w:color w:val="FFFFFF" w:themeColor="background1"/>
              </w:rPr>
            </w:pPr>
            <w:r>
              <w:rPr>
                <w:rFonts w:ascii="Tahoma" w:hAnsi="Tahoma"/>
                <w:sz w:val="16"/>
                <w:szCs w:val="20"/>
              </w:rPr>
              <w:t>V</w:t>
            </w:r>
            <w:r>
              <w:rPr>
                <w:rFonts w:ascii="Tahoma" w:hAnsi="Tahoma"/>
                <w:sz w:val="16"/>
                <w:szCs w:val="20"/>
                <w:lang w:val="en-US"/>
              </w:rPr>
              <w:t>I</w:t>
            </w:r>
          </w:p>
        </w:tc>
      </w:tr>
    </w:tbl>
    <w:p w:rsidR="008F78A3" w:rsidRDefault="006345B2">
      <w:pPr>
        <w:pStyle w:val="Pro-Tab"/>
        <w:jc w:val="both"/>
      </w:pPr>
      <w:r>
        <w:t>&lt;1&gt; - для всех значений таблицы, указанных в виде диапазонов, максимальное значение включается в диапазон.</w:t>
      </w:r>
    </w:p>
    <w:p w:rsidR="008F78A3" w:rsidRDefault="008F78A3">
      <w:pPr>
        <w:pStyle w:val="Pro-Tab"/>
        <w:ind w:right="139"/>
        <w:jc w:val="both"/>
      </w:pPr>
    </w:p>
    <w:p w:rsidR="008F78A3" w:rsidRDefault="006345B2">
      <w:pPr>
        <w:pStyle w:val="Pro-TabName"/>
        <w:jc w:val="both"/>
        <w:rPr>
          <w:color w:val="00000A"/>
        </w:rPr>
      </w:pPr>
      <w:r>
        <w:rPr>
          <w:color w:val="00000A"/>
        </w:rPr>
        <w:t>2. Объемные показатели, характеризующие масштаб управления учреждением</w:t>
      </w:r>
    </w:p>
    <w:tbl>
      <w:tblPr>
        <w:tblStyle w:val="Pro-Table"/>
        <w:tblW w:w="10206" w:type="dxa"/>
        <w:tblInd w:w="108" w:type="dxa"/>
        <w:tblLook w:val="0000"/>
      </w:tblPr>
      <w:tblGrid>
        <w:gridCol w:w="852"/>
        <w:gridCol w:w="4711"/>
        <w:gridCol w:w="1982"/>
        <w:gridCol w:w="2661"/>
      </w:tblGrid>
      <w:tr w:rsidR="008F78A3" w:rsidTr="008F78A3">
        <w:trPr>
          <w:tblHead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N п/п</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Объемные показатели</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Условия расчета</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Количество баллов</w:t>
            </w:r>
          </w:p>
        </w:tc>
      </w:tr>
      <w:tr w:rsidR="008F78A3" w:rsidTr="008F78A3">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Среднесписочная численность работников учреждения</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За каждого работника</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1</w:t>
            </w:r>
          </w:p>
        </w:tc>
      </w:tr>
      <w:tr w:rsidR="008F78A3" w:rsidTr="008F78A3">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lastRenderedPageBreak/>
              <w:t>2</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Плановый объем расходов учреждения по бюджетной смете или плану финансово-хозяйственной деятельности на текущий финансовый год</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rPr>
                <w:rFonts w:ascii="Tahoma" w:hAnsi="Tahoma"/>
                <w:sz w:val="16"/>
                <w:szCs w:val="20"/>
              </w:rPr>
            </w:pPr>
            <w:r>
              <w:rPr>
                <w:rFonts w:ascii="Tahoma" w:hAnsi="Tahoma"/>
                <w:sz w:val="16"/>
                <w:szCs w:val="20"/>
              </w:rPr>
              <w:t>За 1 млн. руб.</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78A3" w:rsidRDefault="006345B2">
            <w:pPr>
              <w:pStyle w:val="Pro-Tab"/>
              <w:spacing w:after="60"/>
              <w:jc w:val="center"/>
              <w:rPr>
                <w:rFonts w:ascii="Tahoma" w:hAnsi="Tahoma"/>
                <w:sz w:val="16"/>
                <w:szCs w:val="20"/>
              </w:rPr>
            </w:pPr>
            <w:r>
              <w:rPr>
                <w:rFonts w:ascii="Tahoma" w:hAnsi="Tahoma"/>
                <w:sz w:val="16"/>
                <w:szCs w:val="20"/>
              </w:rPr>
              <w:t>0,2</w:t>
            </w:r>
          </w:p>
        </w:tc>
      </w:tr>
    </w:tbl>
    <w:p w:rsidR="008F78A3" w:rsidRDefault="008F78A3">
      <w:pPr>
        <w:rPr>
          <w:rFonts w:ascii="Times New Roman" w:eastAsia="Times New Roman" w:hAnsi="Times New Roman" w:cs="Times New Roman"/>
          <w:b/>
          <w:sz w:val="28"/>
          <w:szCs w:val="28"/>
        </w:rPr>
      </w:pPr>
    </w:p>
    <w:p w:rsidR="008F78A3" w:rsidRDefault="008F78A3">
      <w:pPr>
        <w:pStyle w:val="4"/>
      </w:pPr>
    </w:p>
    <w:p w:rsidR="008F78A3" w:rsidRDefault="008F78A3">
      <w:pPr>
        <w:pStyle w:val="4"/>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Pro-Gramma0"/>
      </w:pPr>
    </w:p>
    <w:p w:rsidR="008F78A3" w:rsidRDefault="008F78A3">
      <w:pPr>
        <w:pStyle w:val="4"/>
      </w:pPr>
    </w:p>
    <w:p w:rsidR="008F78A3" w:rsidRDefault="008F78A3">
      <w:pPr>
        <w:pStyle w:val="4"/>
      </w:pPr>
    </w:p>
    <w:p w:rsidR="008F78A3" w:rsidRDefault="008F78A3">
      <w:pPr>
        <w:pStyle w:val="4"/>
      </w:pPr>
    </w:p>
    <w:p w:rsidR="008F78A3" w:rsidRDefault="008F78A3">
      <w:pPr>
        <w:pStyle w:val="4"/>
      </w:pPr>
    </w:p>
    <w:sectPr w:rsidR="008F78A3" w:rsidSect="008F78A3">
      <w:footerReference w:type="default" r:id="rId9"/>
      <w:pgSz w:w="11906" w:h="16838"/>
      <w:pgMar w:top="567" w:right="567" w:bottom="851" w:left="1134" w:header="0" w:footer="51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D7" w:rsidRDefault="005832D7" w:rsidP="008F78A3">
      <w:pPr>
        <w:spacing w:after="0" w:line="240" w:lineRule="auto"/>
      </w:pPr>
      <w:r>
        <w:separator/>
      </w:r>
    </w:p>
  </w:endnote>
  <w:endnote w:type="continuationSeparator" w:id="1">
    <w:p w:rsidR="005832D7" w:rsidRDefault="005832D7" w:rsidP="008F7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881326"/>
      <w:docPartObj>
        <w:docPartGallery w:val="Page Numbers (Bottom of Page)"/>
        <w:docPartUnique/>
      </w:docPartObj>
    </w:sdtPr>
    <w:sdtContent>
      <w:p w:rsidR="008F78A3" w:rsidRDefault="00286F5A">
        <w:pPr>
          <w:pStyle w:val="af7"/>
          <w:jc w:val="right"/>
        </w:pPr>
        <w:r>
          <w:fldChar w:fldCharType="begin"/>
        </w:r>
        <w:r w:rsidR="006345B2">
          <w:instrText>PAGE</w:instrText>
        </w:r>
        <w:r>
          <w:fldChar w:fldCharType="separate"/>
        </w:r>
        <w:r w:rsidR="00835559">
          <w:rPr>
            <w:noProof/>
          </w:rPr>
          <w:t>1</w:t>
        </w:r>
        <w:r>
          <w:fldChar w:fldCharType="end"/>
        </w:r>
      </w:p>
    </w:sdtContent>
  </w:sdt>
  <w:p w:rsidR="008F78A3" w:rsidRDefault="008F78A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D7" w:rsidRDefault="005832D7" w:rsidP="008F78A3">
      <w:pPr>
        <w:spacing w:after="0" w:line="240" w:lineRule="auto"/>
      </w:pPr>
      <w:r>
        <w:separator/>
      </w:r>
    </w:p>
  </w:footnote>
  <w:footnote w:type="continuationSeparator" w:id="1">
    <w:p w:rsidR="005832D7" w:rsidRDefault="005832D7" w:rsidP="008F7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32D1"/>
    <w:multiLevelType w:val="multilevel"/>
    <w:tmpl w:val="9B06AB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6AC4599"/>
    <w:multiLevelType w:val="multilevel"/>
    <w:tmpl w:val="7C2653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4966FA"/>
    <w:multiLevelType w:val="multilevel"/>
    <w:tmpl w:val="A244B112"/>
    <w:lvl w:ilvl="0">
      <w:start w:val="2"/>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7D2E26EB"/>
    <w:multiLevelType w:val="multilevel"/>
    <w:tmpl w:val="930218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F78A3"/>
    <w:rsid w:val="000E493C"/>
    <w:rsid w:val="00286F5A"/>
    <w:rsid w:val="005832D7"/>
    <w:rsid w:val="006345B2"/>
    <w:rsid w:val="00835559"/>
    <w:rsid w:val="008F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8A"/>
    <w:pPr>
      <w:spacing w:after="200"/>
    </w:pPr>
    <w:rPr>
      <w:rFonts w:ascii="Calibri" w:eastAsiaTheme="minorEastAsia" w:hAnsi="Calibri"/>
      <w:lang w:eastAsia="ru-RU"/>
    </w:rPr>
  </w:style>
  <w:style w:type="paragraph" w:styleId="1">
    <w:name w:val="heading 1"/>
    <w:basedOn w:val="a0"/>
    <w:link w:val="10"/>
    <w:qFormat/>
    <w:rsid w:val="0023759C"/>
    <w:pPr>
      <w:ind w:left="0"/>
    </w:pPr>
  </w:style>
  <w:style w:type="paragraph" w:styleId="2">
    <w:name w:val="heading 2"/>
    <w:basedOn w:val="a"/>
    <w:link w:val="20"/>
    <w:qFormat/>
    <w:rsid w:val="003B5868"/>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link w:val="30"/>
    <w:qFormat/>
    <w:rsid w:val="000037E4"/>
    <w:pPr>
      <w:widowControl w:val="0"/>
      <w:spacing w:after="200"/>
      <w:outlineLvl w:val="2"/>
    </w:pPr>
  </w:style>
  <w:style w:type="paragraph" w:styleId="4">
    <w:name w:val="heading 4"/>
    <w:link w:val="40"/>
    <w:qFormat/>
    <w:rsid w:val="000823B0"/>
    <w:pPr>
      <w:widowControl w:val="0"/>
      <w:spacing w:after="20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uiPriority w:val="99"/>
    <w:qFormat/>
    <w:rsid w:val="003B5868"/>
    <w:rPr>
      <w:rFonts w:ascii="Times New Roman" w:eastAsia="Times New Roman" w:hAnsi="Times New Roman" w:cs="Times New Roman"/>
      <w:sz w:val="24"/>
      <w:szCs w:val="24"/>
      <w:lang w:eastAsia="ru-RU"/>
    </w:rPr>
  </w:style>
  <w:style w:type="character" w:customStyle="1" w:styleId="Pro-Gramma">
    <w:name w:val="Pro-Gramma Знак"/>
    <w:basedOn w:val="a1"/>
    <w:qFormat/>
    <w:rsid w:val="00A06915"/>
    <w:rPr>
      <w:rFonts w:ascii="Times New Roman" w:hAnsi="Times New Roman" w:cs="Times New Roman"/>
      <w:sz w:val="28"/>
      <w:szCs w:val="28"/>
      <w:lang w:eastAsia="ru-RU"/>
    </w:rPr>
  </w:style>
  <w:style w:type="character" w:customStyle="1" w:styleId="Pro-Marka">
    <w:name w:val="Pro-Marka"/>
    <w:basedOn w:val="a1"/>
    <w:qFormat/>
    <w:rsid w:val="003B5868"/>
    <w:rPr>
      <w:b/>
      <w:color w:val="C41C16"/>
    </w:rPr>
  </w:style>
  <w:style w:type="character" w:customStyle="1" w:styleId="Pro-">
    <w:name w:val="Pro-Ссылка"/>
    <w:basedOn w:val="a1"/>
    <w:qFormat/>
    <w:rsid w:val="003B5868"/>
    <w:rPr>
      <w:i/>
      <w:color w:val="808080"/>
      <w:u w:val="none"/>
    </w:rPr>
  </w:style>
  <w:style w:type="character" w:customStyle="1" w:styleId="TextNPA">
    <w:name w:val="Text NPA"/>
    <w:basedOn w:val="a1"/>
    <w:qFormat/>
    <w:rsid w:val="003B5868"/>
    <w:rPr>
      <w:rFonts w:ascii="Courier New" w:hAnsi="Courier New"/>
    </w:rPr>
  </w:style>
  <w:style w:type="character" w:customStyle="1" w:styleId="a5">
    <w:name w:val="Верхний колонтитул Знак"/>
    <w:basedOn w:val="a1"/>
    <w:uiPriority w:val="99"/>
    <w:qFormat/>
    <w:rsid w:val="003B5868"/>
    <w:rPr>
      <w:rFonts w:ascii="Times New Roman" w:eastAsia="Times New Roman" w:hAnsi="Times New Roman" w:cs="Times New Roman"/>
      <w:sz w:val="24"/>
      <w:szCs w:val="24"/>
      <w:lang w:eastAsia="ru-RU"/>
    </w:rPr>
  </w:style>
  <w:style w:type="character" w:customStyle="1" w:styleId="-">
    <w:name w:val="Интернет-ссылка"/>
    <w:basedOn w:val="a1"/>
    <w:uiPriority w:val="99"/>
    <w:unhideWhenUsed/>
    <w:rsid w:val="003B5868"/>
    <w:rPr>
      <w:color w:val="0000FF"/>
      <w:u w:val="single"/>
    </w:rPr>
  </w:style>
  <w:style w:type="character" w:customStyle="1" w:styleId="10">
    <w:name w:val="Заголовок 1 Знак"/>
    <w:basedOn w:val="a1"/>
    <w:link w:val="1"/>
    <w:qFormat/>
    <w:rsid w:val="0023759C"/>
    <w:rPr>
      <w:rFonts w:ascii="Verdana" w:hAnsi="Verdana" w:cs="Arial"/>
      <w:b/>
      <w:bCs/>
      <w:sz w:val="40"/>
      <w:szCs w:val="32"/>
      <w:lang w:eastAsia="ru-RU"/>
    </w:rPr>
  </w:style>
  <w:style w:type="character" w:customStyle="1" w:styleId="20">
    <w:name w:val="Заголовок 2 Знак"/>
    <w:basedOn w:val="a1"/>
    <w:link w:val="2"/>
    <w:qFormat/>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qFormat/>
    <w:rsid w:val="000037E4"/>
    <w:rPr>
      <w:rFonts w:ascii="Times New Roman" w:hAnsi="Times New Roman" w:cs="Times New Roman"/>
      <w:sz w:val="28"/>
      <w:szCs w:val="28"/>
      <w:lang w:eastAsia="ru-RU"/>
    </w:rPr>
  </w:style>
  <w:style w:type="character" w:customStyle="1" w:styleId="40">
    <w:name w:val="Заголовок 4 Знак"/>
    <w:basedOn w:val="a1"/>
    <w:link w:val="4"/>
    <w:qFormat/>
    <w:rsid w:val="000823B0"/>
    <w:rPr>
      <w:rFonts w:ascii="Times New Roman" w:hAnsi="Times New Roman" w:cs="Times New Roman"/>
      <w:b/>
      <w:sz w:val="28"/>
      <w:szCs w:val="28"/>
      <w:lang w:eastAsia="ru-RU"/>
    </w:rPr>
  </w:style>
  <w:style w:type="character" w:styleId="a6">
    <w:name w:val="annotation reference"/>
    <w:basedOn w:val="a1"/>
    <w:uiPriority w:val="99"/>
    <w:semiHidden/>
    <w:qFormat/>
    <w:rsid w:val="003B5868"/>
    <w:rPr>
      <w:sz w:val="16"/>
      <w:szCs w:val="16"/>
    </w:rPr>
  </w:style>
  <w:style w:type="character" w:styleId="a7">
    <w:name w:val="footnote reference"/>
    <w:basedOn w:val="a1"/>
    <w:unhideWhenUsed/>
    <w:qFormat/>
    <w:rsid w:val="003B5868"/>
    <w:rPr>
      <w:vertAlign w:val="superscript"/>
    </w:rPr>
  </w:style>
  <w:style w:type="character" w:customStyle="1" w:styleId="a8">
    <w:name w:val="Название Знак"/>
    <w:basedOn w:val="a1"/>
    <w:qFormat/>
    <w:rsid w:val="003B5868"/>
    <w:rPr>
      <w:rFonts w:ascii="Verdana" w:eastAsia="Times New Roman" w:hAnsi="Verdana" w:cs="Arial"/>
      <w:b/>
      <w:bCs/>
      <w:sz w:val="40"/>
      <w:szCs w:val="32"/>
      <w:lang w:eastAsia="ru-RU"/>
    </w:rPr>
  </w:style>
  <w:style w:type="character" w:styleId="a9">
    <w:name w:val="page number"/>
    <w:basedOn w:val="a1"/>
    <w:semiHidden/>
    <w:qFormat/>
    <w:rsid w:val="003B5868"/>
    <w:rPr>
      <w:rFonts w:ascii="Verdana" w:hAnsi="Verdana"/>
      <w:b/>
      <w:color w:val="C41C16"/>
      <w:sz w:val="16"/>
    </w:rPr>
  </w:style>
  <w:style w:type="character" w:customStyle="1" w:styleId="aa">
    <w:name w:val="Подзаголовок Знак"/>
    <w:basedOn w:val="a1"/>
    <w:uiPriority w:val="11"/>
    <w:qFormat/>
    <w:rsid w:val="003B5868"/>
    <w:rPr>
      <w:rFonts w:asciiTheme="majorHAnsi" w:eastAsiaTheme="majorEastAsia" w:hAnsiTheme="majorHAnsi" w:cstheme="majorBidi"/>
      <w:sz w:val="24"/>
      <w:szCs w:val="24"/>
      <w:lang w:eastAsia="ru-RU"/>
    </w:rPr>
  </w:style>
  <w:style w:type="character" w:customStyle="1" w:styleId="ab">
    <w:name w:val="Схема документа Знак"/>
    <w:basedOn w:val="a1"/>
    <w:uiPriority w:val="99"/>
    <w:semiHidden/>
    <w:qFormat/>
    <w:rsid w:val="003B5868"/>
    <w:rPr>
      <w:rFonts w:ascii="Tahoma" w:eastAsia="Times New Roman" w:hAnsi="Tahoma" w:cs="Tahoma"/>
      <w:sz w:val="16"/>
      <w:szCs w:val="16"/>
      <w:lang w:eastAsia="ru-RU"/>
    </w:rPr>
  </w:style>
  <w:style w:type="character" w:customStyle="1" w:styleId="ac">
    <w:name w:val="Текст выноски Знак"/>
    <w:basedOn w:val="a1"/>
    <w:uiPriority w:val="99"/>
    <w:semiHidden/>
    <w:qFormat/>
    <w:rsid w:val="003B5868"/>
    <w:rPr>
      <w:rFonts w:ascii="Tahoma" w:eastAsia="Times New Roman" w:hAnsi="Tahoma" w:cs="Tahoma"/>
      <w:sz w:val="16"/>
      <w:szCs w:val="16"/>
      <w:lang w:eastAsia="ru-RU"/>
    </w:rPr>
  </w:style>
  <w:style w:type="character" w:customStyle="1" w:styleId="ad">
    <w:name w:val="Текст примечания Знак"/>
    <w:basedOn w:val="a1"/>
    <w:uiPriority w:val="99"/>
    <w:qFormat/>
    <w:rsid w:val="003B5868"/>
    <w:rPr>
      <w:rFonts w:ascii="Calibri" w:eastAsia="Calibri" w:hAnsi="Calibri" w:cs="Times New Roman"/>
      <w:sz w:val="20"/>
      <w:szCs w:val="20"/>
    </w:rPr>
  </w:style>
  <w:style w:type="character" w:customStyle="1" w:styleId="ae">
    <w:name w:val="Текст сноски Знак"/>
    <w:basedOn w:val="a1"/>
    <w:qFormat/>
    <w:rsid w:val="003B5868"/>
    <w:rPr>
      <w:rFonts w:ascii="Tahoma" w:eastAsia="Times New Roman" w:hAnsi="Tahoma" w:cs="Tahoma"/>
      <w:sz w:val="16"/>
      <w:szCs w:val="16"/>
      <w:lang w:eastAsia="ru-RU"/>
    </w:rPr>
  </w:style>
  <w:style w:type="character" w:customStyle="1" w:styleId="af">
    <w:name w:val="Тема примечания Знак"/>
    <w:basedOn w:val="ad"/>
    <w:uiPriority w:val="99"/>
    <w:semiHidden/>
    <w:qFormat/>
    <w:rsid w:val="003B5868"/>
    <w:rPr>
      <w:rFonts w:ascii="Times New Roman" w:eastAsia="Times New Roman" w:hAnsi="Times New Roman" w:cs="Times New Roman"/>
      <w:b/>
      <w:bCs/>
      <w:sz w:val="20"/>
      <w:szCs w:val="20"/>
      <w:lang w:eastAsia="ru-RU"/>
    </w:rPr>
  </w:style>
  <w:style w:type="character" w:styleId="af0">
    <w:name w:val="Placeholder Text"/>
    <w:basedOn w:val="a1"/>
    <w:uiPriority w:val="99"/>
    <w:semiHidden/>
    <w:qFormat/>
    <w:rsid w:val="001F417A"/>
    <w:rPr>
      <w:color w:val="808080"/>
    </w:rPr>
  </w:style>
  <w:style w:type="character" w:customStyle="1" w:styleId="blk">
    <w:name w:val="blk"/>
    <w:basedOn w:val="a1"/>
    <w:qFormat/>
    <w:rsid w:val="00342B78"/>
  </w:style>
  <w:style w:type="character" w:customStyle="1" w:styleId="af1">
    <w:name w:val="Основной текст с отступом Знак"/>
    <w:basedOn w:val="a1"/>
    <w:qFormat/>
    <w:rsid w:val="005F4EBC"/>
    <w:rPr>
      <w:rFonts w:ascii="Times New Roman" w:hAnsi="Times New Roman" w:cs="Times New Roman"/>
      <w:sz w:val="28"/>
      <w:szCs w:val="20"/>
      <w:lang w:eastAsia="ru-RU"/>
    </w:rPr>
  </w:style>
  <w:style w:type="character" w:customStyle="1" w:styleId="ListLabel1">
    <w:name w:val="ListLabel 1"/>
    <w:qFormat/>
    <w:rsid w:val="008F78A3"/>
    <w:rPr>
      <w:color w:val="800000"/>
    </w:rPr>
  </w:style>
  <w:style w:type="character" w:customStyle="1" w:styleId="ListLabel2">
    <w:name w:val="ListLabel 2"/>
    <w:qFormat/>
    <w:rsid w:val="008F78A3"/>
    <w:rPr>
      <w:rFonts w:cs="Courier New"/>
    </w:rPr>
  </w:style>
  <w:style w:type="character" w:customStyle="1" w:styleId="ListLabel3">
    <w:name w:val="ListLabel 3"/>
    <w:qFormat/>
    <w:rsid w:val="008F78A3"/>
    <w:rPr>
      <w:color w:val="C41C16"/>
      <w:sz w:val="24"/>
      <w:szCs w:val="24"/>
    </w:rPr>
  </w:style>
  <w:style w:type="character" w:customStyle="1" w:styleId="ListLabel4">
    <w:name w:val="ListLabel 4"/>
    <w:qFormat/>
    <w:rsid w:val="008F78A3"/>
    <w:rPr>
      <w:color w:val="00000A"/>
    </w:rPr>
  </w:style>
  <w:style w:type="character" w:customStyle="1" w:styleId="ListLabel5">
    <w:name w:val="ListLabel 5"/>
    <w:qFormat/>
    <w:rsid w:val="008F78A3"/>
    <w:rPr>
      <w:b/>
    </w:rPr>
  </w:style>
  <w:style w:type="paragraph" w:customStyle="1" w:styleId="af2">
    <w:name w:val="Заголовок"/>
    <w:basedOn w:val="a"/>
    <w:next w:val="af3"/>
    <w:qFormat/>
    <w:rsid w:val="008F78A3"/>
    <w:pPr>
      <w:keepNext/>
      <w:spacing w:before="240" w:after="120"/>
    </w:pPr>
    <w:rPr>
      <w:rFonts w:ascii="Liberation Sans" w:eastAsia="Microsoft YaHei" w:hAnsi="Liberation Sans" w:cs="Mangal"/>
      <w:sz w:val="28"/>
      <w:szCs w:val="28"/>
    </w:rPr>
  </w:style>
  <w:style w:type="paragraph" w:styleId="af3">
    <w:name w:val="Body Text"/>
    <w:basedOn w:val="a"/>
    <w:rsid w:val="008F78A3"/>
    <w:pPr>
      <w:spacing w:after="140" w:line="288" w:lineRule="auto"/>
    </w:pPr>
  </w:style>
  <w:style w:type="paragraph" w:styleId="af4">
    <w:name w:val="List"/>
    <w:basedOn w:val="af3"/>
    <w:rsid w:val="008F78A3"/>
    <w:rPr>
      <w:rFonts w:cs="Mangal"/>
    </w:rPr>
  </w:style>
  <w:style w:type="paragraph" w:styleId="af5">
    <w:name w:val="Title"/>
    <w:basedOn w:val="a"/>
    <w:rsid w:val="008F78A3"/>
    <w:pPr>
      <w:suppressLineNumbers/>
      <w:spacing w:before="120" w:after="120"/>
    </w:pPr>
    <w:rPr>
      <w:rFonts w:cs="Mangal"/>
      <w:i/>
      <w:iCs/>
      <w:sz w:val="24"/>
      <w:szCs w:val="24"/>
    </w:rPr>
  </w:style>
  <w:style w:type="paragraph" w:styleId="af6">
    <w:name w:val="index heading"/>
    <w:basedOn w:val="a"/>
    <w:qFormat/>
    <w:rsid w:val="008F78A3"/>
    <w:pPr>
      <w:suppressLineNumbers/>
    </w:pPr>
    <w:rPr>
      <w:rFonts w:cs="Mangal"/>
    </w:rPr>
  </w:style>
  <w:style w:type="paragraph" w:customStyle="1" w:styleId="a0">
    <w:name w:val="Заглавие"/>
    <w:basedOn w:val="a"/>
    <w:qFormat/>
    <w:rsid w:val="003B5868"/>
    <w:pPr>
      <w:pBdr>
        <w:bottom w:val="single" w:sz="48" w:space="18" w:color="C4161C"/>
      </w:pBdr>
      <w:spacing w:before="3000" w:after="5520" w:line="240" w:lineRule="auto"/>
      <w:ind w:left="1678"/>
      <w:jc w:val="right"/>
      <w:outlineLvl w:val="0"/>
    </w:pPr>
    <w:rPr>
      <w:rFonts w:ascii="Verdana" w:eastAsia="Times New Roman" w:hAnsi="Verdana" w:cs="Arial"/>
      <w:b/>
      <w:bCs/>
      <w:sz w:val="40"/>
      <w:szCs w:val="32"/>
    </w:rPr>
  </w:style>
  <w:style w:type="paragraph" w:styleId="af7">
    <w:name w:val="footer"/>
    <w:basedOn w:val="a"/>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Bottom">
    <w:name w:val="Bottom"/>
    <w:basedOn w:val="af7"/>
    <w:unhideWhenUsed/>
    <w:qFormat/>
    <w:rsid w:val="003B5868"/>
    <w:pPr>
      <w:pBdr>
        <w:top w:val="single" w:sz="4" w:space="6" w:color="808080"/>
      </w:pBdr>
      <w:jc w:val="right"/>
    </w:pPr>
    <w:rPr>
      <w:rFonts w:ascii="Verdana" w:hAnsi="Verdana"/>
      <w:color w:val="C41C16"/>
      <w:sz w:val="16"/>
    </w:rPr>
  </w:style>
  <w:style w:type="paragraph" w:customStyle="1" w:styleId="Pro-Gramma0">
    <w:name w:val="Pro-Gramma"/>
    <w:basedOn w:val="a"/>
    <w:qFormat/>
    <w:rsid w:val="00A06915"/>
    <w:pPr>
      <w:spacing w:after="0" w:line="240" w:lineRule="auto"/>
      <w:ind w:firstLine="709"/>
      <w:contextualSpacing/>
      <w:jc w:val="both"/>
    </w:pPr>
    <w:rPr>
      <w:rFonts w:ascii="Times New Roman" w:eastAsia="Times New Roman" w:hAnsi="Times New Roman" w:cs="Times New Roman"/>
      <w:sz w:val="28"/>
      <w:szCs w:val="28"/>
    </w:rPr>
  </w:style>
  <w:style w:type="paragraph" w:customStyle="1" w:styleId="Pro-List1">
    <w:name w:val="Pro-List #1"/>
    <w:basedOn w:val="Pro-Gramma0"/>
    <w:qFormat/>
    <w:rsid w:val="003B5868"/>
    <w:pPr>
      <w:tabs>
        <w:tab w:val="left" w:pos="1134"/>
      </w:tabs>
      <w:spacing w:before="180"/>
      <w:ind w:hanging="567"/>
    </w:pPr>
  </w:style>
  <w:style w:type="paragraph" w:customStyle="1" w:styleId="NPAText">
    <w:name w:val="NPA Text"/>
    <w:basedOn w:val="Pro-List1"/>
    <w:qFormat/>
    <w:rsid w:val="003B5868"/>
  </w:style>
  <w:style w:type="paragraph" w:customStyle="1" w:styleId="NPA-Comment">
    <w:name w:val="NPA-Comment"/>
    <w:basedOn w:val="Pro-Gramma0"/>
    <w:qFormat/>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left" w:pos="2040"/>
      </w:tabs>
      <w:ind w:left="2040" w:hanging="480"/>
    </w:pPr>
  </w:style>
  <w:style w:type="paragraph" w:customStyle="1" w:styleId="Pro-List3">
    <w:name w:val="Pro-List #3"/>
    <w:basedOn w:val="Pro-List2"/>
    <w:qFormat/>
    <w:rsid w:val="003B5868"/>
    <w:pPr>
      <w:tabs>
        <w:tab w:val="left" w:pos="2640"/>
      </w:tabs>
      <w:ind w:left="2640" w:hanging="600"/>
    </w:pPr>
    <w:rPr>
      <w:lang w:val="en-US"/>
    </w:rPr>
  </w:style>
  <w:style w:type="paragraph" w:customStyle="1" w:styleId="Pro-List-1">
    <w:name w:val="Pro-List -1"/>
    <w:basedOn w:val="Pro-List1"/>
    <w:qFormat/>
    <w:rsid w:val="003B5868"/>
  </w:style>
  <w:style w:type="paragraph" w:customStyle="1" w:styleId="Pro-List-2">
    <w:name w:val="Pro-List -2"/>
    <w:basedOn w:val="Pro-List-1"/>
    <w:qFormat/>
    <w:rsid w:val="003B5868"/>
    <w:pPr>
      <w:spacing w:before="60"/>
    </w:pPr>
  </w:style>
  <w:style w:type="paragraph" w:customStyle="1" w:styleId="Pro-Tab">
    <w:name w:val="Pro-Tab"/>
    <w:basedOn w:val="a"/>
    <w:qFormat/>
    <w:rsid w:val="00BF0632"/>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qFormat/>
    <w:rsid w:val="003B5868"/>
    <w:rPr>
      <w:b/>
      <w:bCs/>
    </w:rPr>
  </w:style>
  <w:style w:type="paragraph" w:customStyle="1" w:styleId="Pro-TabName">
    <w:name w:val="Pro-Tab Name"/>
    <w:basedOn w:val="Pro-TabHead"/>
    <w:qFormat/>
    <w:rsid w:val="003B5868"/>
    <w:pPr>
      <w:keepNext/>
      <w:spacing w:before="240" w:after="120"/>
    </w:pPr>
    <w:rPr>
      <w:color w:val="C41C16"/>
    </w:rPr>
  </w:style>
  <w:style w:type="paragraph" w:styleId="af8">
    <w:name w:val="List Paragraph"/>
    <w:basedOn w:val="a"/>
    <w:uiPriority w:val="34"/>
    <w:qFormat/>
    <w:rsid w:val="003B5868"/>
    <w:pPr>
      <w:spacing w:after="0" w:line="240" w:lineRule="auto"/>
      <w:ind w:left="720"/>
      <w:contextualSpacing/>
    </w:pPr>
    <w:rPr>
      <w:rFonts w:ascii="Times New Roman" w:eastAsia="Times New Roman" w:hAnsi="Times New Roman" w:cs="Times New Roman"/>
      <w:sz w:val="24"/>
      <w:szCs w:val="24"/>
    </w:rPr>
  </w:style>
  <w:style w:type="paragraph" w:styleId="af9">
    <w:name w:val="header"/>
    <w:basedOn w:val="a"/>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11">
    <w:name w:val="toc 1"/>
    <w:basedOn w:val="a"/>
    <w:autoRedefine/>
    <w:uiPriority w:val="39"/>
    <w:rsid w:val="003B5868"/>
    <w:pPr>
      <w:pBdr>
        <w:bottom w:val="single" w:sz="12" w:space="1" w:color="808080"/>
      </w:pBdr>
      <w:tabs>
        <w:tab w:val="right" w:pos="9921"/>
      </w:tabs>
      <w:spacing w:before="360" w:after="360" w:line="240" w:lineRule="auto"/>
    </w:pPr>
    <w:rPr>
      <w:rFonts w:ascii="Verdana" w:eastAsia="Times New Roman" w:hAnsi="Verdana" w:cs="Times New Roman"/>
      <w:bCs/>
      <w:sz w:val="24"/>
    </w:rPr>
  </w:style>
  <w:style w:type="paragraph" w:styleId="31">
    <w:name w:val="toc 3"/>
    <w:basedOn w:val="a"/>
    <w:autoRedefine/>
    <w:uiPriority w:val="39"/>
    <w:rsid w:val="003B5868"/>
    <w:pPr>
      <w:tabs>
        <w:tab w:val="right" w:pos="9911"/>
      </w:tabs>
      <w:spacing w:before="240" w:after="120" w:line="240" w:lineRule="auto"/>
      <w:ind w:left="1202"/>
    </w:pPr>
    <w:rPr>
      <w:rFonts w:ascii="Georgia" w:eastAsia="Times New Roman" w:hAnsi="Georgia" w:cs="Times New Roman"/>
      <w:sz w:val="20"/>
      <w:szCs w:val="20"/>
    </w:rPr>
  </w:style>
  <w:style w:type="paragraph" w:styleId="afa">
    <w:name w:val="Subtitle"/>
    <w:basedOn w:val="a"/>
    <w:uiPriority w:val="11"/>
    <w:qFormat/>
    <w:rsid w:val="003B5868"/>
    <w:pPr>
      <w:spacing w:after="60" w:line="240" w:lineRule="auto"/>
      <w:jc w:val="center"/>
      <w:outlineLvl w:val="1"/>
    </w:pPr>
    <w:rPr>
      <w:rFonts w:asciiTheme="majorHAnsi" w:eastAsiaTheme="majorEastAsia" w:hAnsiTheme="majorHAnsi" w:cstheme="majorBidi"/>
      <w:sz w:val="24"/>
      <w:szCs w:val="24"/>
    </w:rPr>
  </w:style>
  <w:style w:type="paragraph" w:styleId="afb">
    <w:name w:val="Document Map"/>
    <w:basedOn w:val="a"/>
    <w:uiPriority w:val="99"/>
    <w:semiHidden/>
    <w:unhideWhenUsed/>
    <w:qFormat/>
    <w:rsid w:val="003B5868"/>
    <w:pPr>
      <w:spacing w:after="0" w:line="240" w:lineRule="auto"/>
    </w:pPr>
    <w:rPr>
      <w:rFonts w:ascii="Tahoma" w:eastAsia="Times New Roman" w:hAnsi="Tahoma" w:cs="Tahoma"/>
      <w:sz w:val="16"/>
      <w:szCs w:val="16"/>
    </w:rPr>
  </w:style>
  <w:style w:type="paragraph" w:styleId="afc">
    <w:name w:val="Balloon Text"/>
    <w:basedOn w:val="a"/>
    <w:uiPriority w:val="99"/>
    <w:semiHidden/>
    <w:unhideWhenUsed/>
    <w:qFormat/>
    <w:rsid w:val="003B5868"/>
    <w:pPr>
      <w:spacing w:after="0" w:line="240" w:lineRule="auto"/>
    </w:pPr>
    <w:rPr>
      <w:rFonts w:ascii="Tahoma" w:eastAsia="Times New Roman" w:hAnsi="Tahoma" w:cs="Tahoma"/>
      <w:sz w:val="16"/>
      <w:szCs w:val="16"/>
    </w:rPr>
  </w:style>
  <w:style w:type="paragraph" w:styleId="afd">
    <w:name w:val="annotation text"/>
    <w:basedOn w:val="a"/>
    <w:uiPriority w:val="99"/>
    <w:unhideWhenUsed/>
    <w:qFormat/>
    <w:rsid w:val="003B5868"/>
    <w:rPr>
      <w:rFonts w:eastAsia="Calibri" w:cs="Times New Roman"/>
      <w:sz w:val="20"/>
      <w:szCs w:val="20"/>
      <w:lang w:eastAsia="en-US"/>
    </w:rPr>
  </w:style>
  <w:style w:type="paragraph" w:styleId="afe">
    <w:name w:val="footnote text"/>
    <w:basedOn w:val="a"/>
    <w:unhideWhenUsed/>
    <w:qFormat/>
    <w:rsid w:val="003B5868"/>
    <w:pPr>
      <w:spacing w:after="0" w:line="240" w:lineRule="auto"/>
    </w:pPr>
    <w:rPr>
      <w:rFonts w:ascii="Tahoma" w:eastAsia="Times New Roman" w:hAnsi="Tahoma" w:cs="Tahoma"/>
      <w:sz w:val="16"/>
      <w:szCs w:val="16"/>
    </w:rPr>
  </w:style>
  <w:style w:type="paragraph" w:styleId="aff">
    <w:name w:val="annotation subject"/>
    <w:basedOn w:val="afd"/>
    <w:uiPriority w:val="99"/>
    <w:semiHidden/>
    <w:unhideWhenUsed/>
    <w:qFormat/>
    <w:rsid w:val="003B5868"/>
    <w:pPr>
      <w:spacing w:after="0" w:line="240" w:lineRule="auto"/>
    </w:pPr>
    <w:rPr>
      <w:rFonts w:ascii="Times New Roman" w:eastAsia="Times New Roman" w:hAnsi="Times New Roman"/>
      <w:b/>
      <w:bCs/>
      <w:lang w:eastAsia="ru-RU"/>
    </w:rPr>
  </w:style>
  <w:style w:type="paragraph" w:styleId="aff0">
    <w:name w:val="Normal (Web)"/>
    <w:basedOn w:val="a"/>
    <w:uiPriority w:val="99"/>
    <w:unhideWhenUsed/>
    <w:qFormat/>
    <w:rsid w:val="000D6248"/>
    <w:pPr>
      <w:spacing w:beforeAutospacing="1"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D8723E"/>
    <w:pPr>
      <w:widowControl w:val="0"/>
      <w:spacing w:line="240" w:lineRule="auto"/>
    </w:pPr>
    <w:rPr>
      <w:rFonts w:ascii="Times New Roman" w:hAnsi="Times New Roman" w:cs="Times New Roman"/>
      <w:b/>
      <w:bCs/>
      <w:sz w:val="24"/>
      <w:szCs w:val="24"/>
      <w:lang w:eastAsia="ru-RU"/>
    </w:rPr>
  </w:style>
  <w:style w:type="paragraph" w:styleId="aff1">
    <w:name w:val="Revision"/>
    <w:uiPriority w:val="99"/>
    <w:semiHidden/>
    <w:qFormat/>
    <w:rsid w:val="00626191"/>
    <w:pPr>
      <w:spacing w:line="240" w:lineRule="auto"/>
    </w:pPr>
    <w:rPr>
      <w:rFonts w:ascii="Calibri" w:eastAsiaTheme="minorEastAsia" w:hAnsi="Calibri"/>
      <w:lang w:eastAsia="ru-RU"/>
    </w:rPr>
  </w:style>
  <w:style w:type="paragraph" w:styleId="aff2">
    <w:name w:val="Body Text Indent"/>
    <w:basedOn w:val="a"/>
    <w:rsid w:val="005F4EBC"/>
    <w:pPr>
      <w:spacing w:after="0" w:line="240" w:lineRule="auto"/>
      <w:ind w:firstLine="709"/>
      <w:jc w:val="both"/>
    </w:pPr>
    <w:rPr>
      <w:rFonts w:ascii="Times New Roman" w:eastAsia="Times New Roman" w:hAnsi="Times New Roman" w:cs="Times New Roman"/>
      <w:sz w:val="28"/>
      <w:szCs w:val="20"/>
    </w:rPr>
  </w:style>
  <w:style w:type="table" w:customStyle="1" w:styleId="Pro-Table">
    <w:name w:val="Pro-Table"/>
    <w:basedOn w:val="a2"/>
    <w:rsid w:val="00EB290E"/>
    <w:pPr>
      <w:spacing w:before="60" w:after="60" w:line="240" w:lineRule="auto"/>
    </w:pPr>
    <w:rPr>
      <w:sz w:val="16"/>
      <w:szCs w:val="20"/>
      <w:lang w:eastAsia="ru-RU"/>
    </w:rPr>
    <w:tblPr>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blStylePr w:type="firstRow">
      <w:pPr>
        <w:wordWrap/>
        <w:spacing w:beforeLines="0" w:afterLines="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styleId="aff3">
    <w:name w:val="Table Grid"/>
    <w:basedOn w:val="a2"/>
    <w:uiPriority w:val="59"/>
    <w:rsid w:val="003B5868"/>
    <w:pPr>
      <w:spacing w:after="40" w:line="240" w:lineRule="auto"/>
    </w:pPr>
    <w:rPr>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2">
    <w:name w:val="Стиль1"/>
    <w:basedOn w:val="a2"/>
    <w:uiPriority w:val="99"/>
    <w:rsid w:val="0028708B"/>
    <w:pPr>
      <w:spacing w:line="240" w:lineRule="auto"/>
      <w:jc w:val="center"/>
    </w:pPr>
    <w:rPr>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table" w:customStyle="1" w:styleId="13">
    <w:name w:val="Сетка таблицы светлая1"/>
    <w:basedOn w:val="a2"/>
    <w:uiPriority w:val="40"/>
    <w:rsid w:val="00754C79"/>
    <w:pPr>
      <w:spacing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se.garant.ru/193459/fb697c250c24b659a86a95916d887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C8D710-272D-4BAB-992C-27F42110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5831</Words>
  <Characters>33242</Characters>
  <Application>Microsoft Office Word</Application>
  <DocSecurity>0</DocSecurity>
  <Lines>277</Lines>
  <Paragraphs>77</Paragraphs>
  <ScaleCrop>false</ScaleCrop>
  <Company>Microsoft</Company>
  <LinksUpToDate>false</LinksUpToDate>
  <CharactersWithSpaces>38996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User</cp:lastModifiedBy>
  <cp:revision>2</cp:revision>
  <cp:lastPrinted>2020-05-14T13:26:00Z</cp:lastPrinted>
  <dcterms:created xsi:type="dcterms:W3CDTF">2020-06-27T19:19:00Z</dcterms:created>
  <dcterms:modified xsi:type="dcterms:W3CDTF">2020-06-27T19:19:00Z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